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</w:rPr>
        <w:t>GAGAN DEEP GARG</w:t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555555"/>
          <w:sz w:val="21"/>
        </w:rPr>
        <w:t>HEAD OF MARKETING | BUSINESS STRATEGY, GTM &amp; INTEGRATED MARKETING LEADERSHIP | B2B SAAS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333333"/>
          <w:sz w:val="18"/>
        </w:rPr>
        <w:t>Open to Relocation  |  Open to Remote Opportunities</w:t>
      </w:r>
    </w:p>
    <w:p>
      <w:pPr>
        <w:spacing w:before="0" w:after="60" w:line="240" w:lineRule="auto"/>
        <w:jc w:val="center"/>
        <w:pBdr>
          <w:bottom w:val="single" w:sz="8" w:space="3" w:color="1F3864"/>
        </w:pBdr>
      </w:pPr>
      <w:r>
        <w:rPr>
          <w:rFonts w:ascii="Calibri" w:hAnsi="Calibri"/>
          <w:b w:val="0"/>
          <w:i w:val="0"/>
          <w:color w:val="333333"/>
          <w:sz w:val="18"/>
        </w:rPr>
        <w:t>+91 9871121860  •  gdgarg@gmail.com  •  linkedin.com/in/gdgarg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SUMMARY</w:t>
      </w:r>
    </w:p>
    <w:p>
      <w:pPr>
        <w:spacing w:before="0" w:after="9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 xml:space="preserve">Marketing leader with </w:t>
      </w:r>
      <w:r>
        <w:rPr>
          <w:rFonts w:ascii="Calibri" w:hAnsi="Calibri"/>
          <w:b/>
          <w:i w:val="0"/>
          <w:color w:val="333333"/>
          <w:sz w:val="20"/>
        </w:rPr>
        <w:t>20 years of experience</w:t>
      </w:r>
      <w:r>
        <w:rPr>
          <w:rFonts w:ascii="Calibri" w:hAnsi="Calibri"/>
          <w:b w:val="0"/>
          <w:i w:val="0"/>
          <w:color w:val="333333"/>
          <w:sz w:val="20"/>
        </w:rPr>
        <w:t xml:space="preserve"> driving </w:t>
      </w:r>
      <w:r>
        <w:rPr>
          <w:rFonts w:ascii="Calibri" w:hAnsi="Calibri"/>
          <w:b/>
          <w:i w:val="0"/>
          <w:color w:val="333333"/>
          <w:sz w:val="20"/>
        </w:rPr>
        <w:t>business strategy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go-to-market execution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brand positioning</w:t>
      </w:r>
      <w:r>
        <w:rPr>
          <w:rFonts w:ascii="Calibri" w:hAnsi="Calibri"/>
          <w:b w:val="0"/>
          <w:i w:val="0"/>
          <w:color w:val="333333"/>
          <w:sz w:val="20"/>
        </w:rPr>
        <w:t xml:space="preserve">, and </w:t>
      </w:r>
      <w:r>
        <w:rPr>
          <w:rFonts w:ascii="Calibri" w:hAnsi="Calibri"/>
          <w:b/>
          <w:i w:val="0"/>
          <w:color w:val="333333"/>
          <w:sz w:val="20"/>
        </w:rPr>
        <w:t>integrated marketing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</w:t>
      </w:r>
      <w:r>
        <w:rPr>
          <w:rFonts w:ascii="Calibri" w:hAnsi="Calibri"/>
          <w:b/>
          <w:i w:val="0"/>
          <w:color w:val="333333"/>
          <w:sz w:val="20"/>
        </w:rPr>
        <w:t>B2B SaaS</w:t>
      </w:r>
      <w:r>
        <w:rPr>
          <w:rFonts w:ascii="Calibri" w:hAnsi="Calibri"/>
          <w:b w:val="0"/>
          <w:i w:val="0"/>
          <w:color w:val="333333"/>
          <w:sz w:val="20"/>
        </w:rPr>
        <w:t xml:space="preserve"> organizations. Proven track record building scalable demand engines, strengthening brand visibility, and aligning marketing investment with measurable pipeline, revenue, and business outcomes.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 xml:space="preserve">Combines executive marketing leadership with hands-on ownership across </w:t>
      </w:r>
      <w:r>
        <w:rPr>
          <w:rFonts w:ascii="Calibri" w:hAnsi="Calibri"/>
          <w:b/>
          <w:i w:val="0"/>
          <w:color w:val="333333"/>
          <w:sz w:val="20"/>
        </w:rPr>
        <w:t>brand strategy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digital and performance marketing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marketing operations</w:t>
      </w:r>
      <w:r>
        <w:rPr>
          <w:rFonts w:ascii="Calibri" w:hAnsi="Calibri"/>
          <w:b w:val="0"/>
          <w:i w:val="0"/>
          <w:color w:val="333333"/>
          <w:sz w:val="20"/>
        </w:rPr>
        <w:t xml:space="preserve">, and </w:t>
      </w:r>
      <w:r>
        <w:rPr>
          <w:rFonts w:ascii="Calibri" w:hAnsi="Calibri"/>
          <w:b/>
          <w:i w:val="0"/>
          <w:color w:val="333333"/>
          <w:sz w:val="20"/>
        </w:rPr>
        <w:t>AI-enabled transformation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partnering with Sales, Product, and executive leadership to drive cross-functional business impact.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CORE SKILLS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>Marketing Leadership  •  Business Strategy &amp; GTM  •  Integrated Marketing &amp; Communications  •  Brand Strategy &amp; Positioning  •  Account-Based Marketing (ABM)  •  Demand Generation &amp; Pipeline Growth  •  Digital &amp; Performance Marketing  •  Social Media &amp; Content Strategy  •  Website &amp; Digital Experience  •  Marketing Operations &amp; Budget Governance  •  Agency &amp; Vendor Management  •  Marketing Analytics &amp; Attribution  •  Event &amp; Field Marketing  •  Cross-functional &amp; Executive Stakeholder Leadership  •  AI-Enabled Marketing Transformation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HIGHLIGHTS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global marketing investments</w:t>
      </w:r>
      <w:r>
        <w:rPr>
          <w:rFonts w:ascii="Calibri" w:hAnsi="Calibri"/>
          <w:b w:val="0"/>
          <w:i w:val="0"/>
          <w:color w:val="333333"/>
          <w:sz w:val="20"/>
        </w:rPr>
        <w:t xml:space="preserve">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disciplined budget governance and media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qualified pipeline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 xml:space="preserve">, building demand engines generating </w:t>
      </w:r>
      <w:r>
        <w:rPr>
          <w:rFonts w:ascii="Calibri" w:hAnsi="Calibri"/>
          <w:b/>
          <w:i w:val="0"/>
          <w:color w:val="333333"/>
          <w:sz w:val="20"/>
        </w:rPr>
        <w:t>400+ qualified opportunities annually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website traffic by </w:t>
      </w:r>
      <w:r>
        <w:rPr>
          <w:rFonts w:ascii="Calibri" w:hAnsi="Calibri"/>
          <w:b/>
          <w:i w:val="0"/>
          <w:color w:val="333333"/>
          <w:sz w:val="20"/>
        </w:rPr>
        <w:t>400%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digital reach by </w:t>
      </w:r>
      <w:r>
        <w:rPr>
          <w:rFonts w:ascii="Calibri" w:hAnsi="Calibri"/>
          <w:b/>
          <w:i w:val="0"/>
          <w:color w:val="333333"/>
          <w:sz w:val="20"/>
        </w:rPr>
        <w:t>325%</w:t>
      </w:r>
      <w:r>
        <w:rPr>
          <w:rFonts w:ascii="Calibri" w:hAnsi="Calibri"/>
          <w:b w:val="0"/>
          <w:i w:val="0"/>
          <w:color w:val="333333"/>
          <w:sz w:val="20"/>
        </w:rPr>
        <w:t xml:space="preserve">, including a Webex freemium marketplace program with Compuage generating </w:t>
      </w:r>
      <w:r>
        <w:rPr>
          <w:rFonts w:ascii="Calibri" w:hAnsi="Calibri"/>
          <w:b/>
          <w:i w:val="0"/>
          <w:color w:val="333333"/>
          <w:sz w:val="20"/>
        </w:rPr>
        <w:t>$1M in incremental revenue and 6,000+ new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brand recall by 9%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brand consideration by 2.5 points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integrated corporate and product brand campaigns.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marketing 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GA4 and Salesforce-powered executive reporting frameworks.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manual marketing effort by </w:t>
      </w:r>
      <w:r>
        <w:rPr>
          <w:rFonts w:ascii="Calibri" w:hAnsi="Calibri"/>
          <w:b/>
          <w:i w:val="0"/>
          <w:color w:val="333333"/>
          <w:sz w:val="20"/>
        </w:rPr>
        <w:t>30+ hours per week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AI-enabled workflow automation.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LEADERSHIP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CIVICA UK Ltd</w:t>
      </w:r>
      <w:r>
        <w:rPr>
          <w:rFonts w:ascii="Calibri" w:hAnsi="Calibri"/>
          <w:b w:val="0"/>
          <w:i/>
          <w:color w:val="555555"/>
          <w:sz w:val="20"/>
        </w:rPr>
        <w:t xml:space="preserve">  |  GLOBAL ABM (Americas, Europe &amp; APJC) &amp; MARKETING AUTOMATION</w:t>
      </w:r>
      <w:r>
        <w:rPr>
          <w:rFonts w:ascii="Calibri" w:hAnsi="Calibri"/>
          <w:b w:val="0"/>
          <w:i/>
          <w:color w:val="555555"/>
          <w:sz w:val="18"/>
        </w:rPr>
        <w:tab/>
        <w:t>Aug 2026 – Present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marketing automation via Salesforce Marketing Cloud</w:t>
      </w:r>
      <w:r>
        <w:rPr>
          <w:rFonts w:ascii="Calibri" w:hAnsi="Calibri"/>
          <w:b w:val="0"/>
          <w:i w:val="0"/>
          <w:color w:val="333333"/>
          <w:sz w:val="20"/>
        </w:rPr>
        <w:t xml:space="preserve"> in partnership with RevOps, leading </w:t>
      </w:r>
      <w:r>
        <w:rPr>
          <w:rFonts w:ascii="Calibri" w:hAnsi="Calibri"/>
          <w:b/>
          <w:i w:val="0"/>
          <w:color w:val="333333"/>
          <w:sz w:val="20"/>
        </w:rPr>
        <w:t>ABM strategy and Demandbase adoption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Sales — activating </w:t>
      </w:r>
      <w:r>
        <w:rPr>
          <w:rFonts w:ascii="Calibri" w:hAnsi="Calibri"/>
          <w:b/>
          <w:i w:val="0"/>
          <w:color w:val="333333"/>
          <w:sz w:val="20"/>
        </w:rPr>
        <w:t>1:1, 1:Few, and 1:Many</w:t>
      </w:r>
      <w:r>
        <w:rPr>
          <w:rFonts w:ascii="Calibri" w:hAnsi="Calibri"/>
          <w:b w:val="0"/>
          <w:i w:val="0"/>
          <w:color w:val="333333"/>
          <w:sz w:val="20"/>
        </w:rPr>
        <w:t xml:space="preserve"> tiers to lift conversions </w:t>
      </w:r>
      <w:r>
        <w:rPr>
          <w:rFonts w:ascii="Calibri" w:hAnsi="Calibri"/>
          <w:b/>
          <w:i w:val="0"/>
          <w:color w:val="333333"/>
          <w:sz w:val="20"/>
        </w:rPr>
        <w:t>20%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Own </w:t>
      </w:r>
      <w:r>
        <w:rPr>
          <w:rFonts w:ascii="Calibri" w:hAnsi="Calibri"/>
          <w:b/>
          <w:i w:val="0"/>
          <w:color w:val="333333"/>
          <w:sz w:val="20"/>
        </w:rPr>
        <w:t>programmatic and display advertising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Americas, Europe, and APJC — aligning paid media budget and social investment to translate campaign performance into pipeline recommendations for marketing and sales leadership.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Boost marketing pipeline through AI-powered journeys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activating offline-to-online lifecycle nurture, including webinar and post-event follow-up — with focused scaling across </w:t>
      </w:r>
      <w:r>
        <w:rPr>
          <w:rFonts w:ascii="Calibri" w:hAnsi="Calibri"/>
          <w:b/>
          <w:i w:val="0"/>
          <w:color w:val="333333"/>
          <w:sz w:val="20"/>
        </w:rPr>
        <w:t>North America and APAC</w:t>
      </w:r>
      <w:r>
        <w:rPr>
          <w:rFonts w:ascii="Calibri" w:hAnsi="Calibri"/>
          <w:b w:val="0"/>
          <w:i w:val="0"/>
          <w:color w:val="333333"/>
          <w:sz w:val="20"/>
        </w:rPr>
        <w:t>, aligned with sales sprint motions.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Keysight Technologies Ltd</w:t>
      </w:r>
      <w:r>
        <w:rPr>
          <w:rFonts w:ascii="Calibri" w:hAnsi="Calibri"/>
          <w:b w:val="0"/>
          <w:i/>
          <w:color w:val="555555"/>
          <w:sz w:val="20"/>
        </w:rPr>
        <w:t xml:space="preserve">  |  GLOBAL MARKETING HEAD (Americas, Europe &amp; APJC)</w:t>
      </w:r>
      <w:r>
        <w:rPr>
          <w:rFonts w:ascii="Calibri" w:hAnsi="Calibri"/>
          <w:b w:val="0"/>
          <w:i/>
          <w:color w:val="555555"/>
          <w:sz w:val="18"/>
        </w:rPr>
        <w:tab/>
        <w:t>Jul 2024 – Mar 2026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Led enterprise marketing strategy spanning growth marketing, demand generation, integrated marketing, ABM, and GTM execution across India and the broader APJC region.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Owned </w:t>
      </w:r>
      <w:r>
        <w:rPr>
          <w:rFonts w:ascii="Calibri" w:hAnsi="Calibri"/>
          <w:b/>
          <w:i w:val="0"/>
          <w:color w:val="333333"/>
          <w:sz w:val="20"/>
        </w:rPr>
        <w:t>$3M+ annual marketing budget</w:t>
      </w:r>
      <w:r>
        <w:rPr>
          <w:rFonts w:ascii="Calibri" w:hAnsi="Calibri"/>
          <w:b w:val="0"/>
          <w:i w:val="0"/>
          <w:color w:val="333333"/>
          <w:sz w:val="20"/>
        </w:rPr>
        <w:t>, aligning investment across digital, ABM, and integrated programs with pipeline and revenue priorities.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ABM programs across </w:t>
      </w:r>
      <w:r>
        <w:rPr>
          <w:rFonts w:ascii="Calibri" w:hAnsi="Calibri"/>
          <w:b/>
          <w:i w:val="0"/>
          <w:color w:val="333333"/>
          <w:sz w:val="20"/>
        </w:rPr>
        <w:t>1:1, 1:Few, and 1:Many</w:t>
      </w:r>
      <w:r>
        <w:rPr>
          <w:rFonts w:ascii="Calibri" w:hAnsi="Calibri"/>
          <w:b w:val="0"/>
          <w:i w:val="0"/>
          <w:color w:val="333333"/>
          <w:sz w:val="20"/>
        </w:rPr>
        <w:t xml:space="preserve"> account tiers using intent-driven marketing to drive enterprise account engagement and penetration.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Led marketing automation, analytics, attribution, and executive reporting frameworks across the marketing organization.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Partnered with Sales, Regional Marketing, Product Marketing, and Operations to govern campaign execution and performance.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Drove AI adoption across marketing workflows and operational processes, improving execution speed and scalability.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Cisco Systems Ltd</w:t>
      </w:r>
      <w:r>
        <w:rPr>
          <w:rFonts w:ascii="Calibri" w:hAnsi="Calibri"/>
          <w:b w:val="0"/>
          <w:i/>
          <w:color w:val="555555"/>
          <w:sz w:val="20"/>
        </w:rPr>
        <w:t xml:space="preserve">  |  REGIONAL DIGITAL MARKETING (APJC)</w:t>
      </w:r>
      <w:r>
        <w:rPr>
          <w:rFonts w:ascii="Calibri" w:hAnsi="Calibri"/>
          <w:b w:val="0"/>
          <w:i/>
          <w:color w:val="555555"/>
          <w:sz w:val="18"/>
        </w:rPr>
        <w:tab/>
        <w:t>Feb 2011 – Apr 2024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integrated marketing strategy across </w:t>
      </w:r>
      <w:r>
        <w:rPr>
          <w:rFonts w:ascii="Calibri" w:hAnsi="Calibri"/>
          <w:b/>
          <w:i w:val="0"/>
          <w:color w:val="333333"/>
          <w:sz w:val="20"/>
        </w:rPr>
        <w:t>14+ APJC markets</w:t>
      </w:r>
      <w:r>
        <w:rPr>
          <w:rFonts w:ascii="Calibri" w:hAnsi="Calibri"/>
          <w:b w:val="0"/>
          <w:i w:val="0"/>
          <w:color w:val="333333"/>
          <w:sz w:val="20"/>
        </w:rPr>
        <w:t>, spanning brand, digital, demand generation, and regional field marketing.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annual marketing investment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paid media, digital, social, content, and event programs; directed agency partners including Mindshare, GroupM, Dentsu, Publicis, Omnicom, and Neo.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Established and governed Cisco India's social media ecosystem, growing it to </w:t>
      </w:r>
      <w:r>
        <w:rPr>
          <w:rFonts w:ascii="Calibri" w:hAnsi="Calibri"/>
          <w:b/>
          <w:i w:val="0"/>
          <w:color w:val="333333"/>
          <w:sz w:val="20"/>
        </w:rPr>
        <w:t>100,000+ organic followers within 12 months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Facebook, LinkedIn, Twitter (X), and YouTube; also governed the enterprise website (Cisco WEM) and editorial governance across web, blog, and campaigns.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corporate and product brand campaigns across APJC, improving </w:t>
      </w:r>
      <w:r>
        <w:rPr>
          <w:rFonts w:ascii="Calibri" w:hAnsi="Calibri"/>
          <w:b/>
          <w:i w:val="0"/>
          <w:color w:val="333333"/>
          <w:sz w:val="20"/>
        </w:rPr>
        <w:t>brand recall by 9%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brand consideration by 2.5 points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Led a quarterly CXO Symposium engaging 50 CXOs per quarter (</w:t>
      </w:r>
      <w:r>
        <w:rPr>
          <w:rFonts w:ascii="Calibri" w:hAnsi="Calibri"/>
          <w:b/>
          <w:i w:val="0"/>
          <w:color w:val="333333"/>
          <w:sz w:val="20"/>
        </w:rPr>
        <w:t>200+ annually</w:t>
      </w:r>
      <w:r>
        <w:rPr>
          <w:rFonts w:ascii="Calibri" w:hAnsi="Calibri"/>
          <w:b w:val="0"/>
          <w:i w:val="0"/>
          <w:color w:val="333333"/>
          <w:sz w:val="20"/>
        </w:rPr>
        <w:t>), and ran the Cisco Interaction Network webinar series, engaging 1,000 IT decision-makers and influencers monthly for 5 years.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Built executive dashboards and marketing measurement frameworks, improving attribution visibility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and developed a team of </w:t>
      </w:r>
      <w:r>
        <w:rPr>
          <w:rFonts w:ascii="Calibri" w:hAnsi="Calibri"/>
          <w:b/>
          <w:i w:val="0"/>
          <w:color w:val="333333"/>
          <w:sz w:val="20"/>
        </w:rPr>
        <w:t>5 marketing professionals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agency partners; recognized with the Cisco CMO Award, Cisco Partner Recognition Award, and Cisco Marketing Best Practice Award.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PROJECTS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Corporate Brand Campaigns: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integrated corporate and product brand campaigns across APJC, improving </w:t>
      </w:r>
      <w:r>
        <w:rPr>
          <w:rFonts w:ascii="Calibri" w:hAnsi="Calibri"/>
          <w:b/>
          <w:i w:val="0"/>
          <w:color w:val="333333"/>
          <w:sz w:val="20"/>
        </w:rPr>
        <w:t>brand recall by 9%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brand consideration by 2.5 points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Enterprise Demand Engine: </w:t>
      </w:r>
      <w:r>
        <w:rPr>
          <w:rFonts w:ascii="Calibri" w:hAnsi="Calibri"/>
          <w:b w:val="0"/>
          <w:i w:val="0"/>
          <w:color w:val="333333"/>
          <w:sz w:val="20"/>
        </w:rPr>
        <w:t xml:space="preserve">Built scalable ABM and demand generation programs, increasing qualified pipeline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generating </w:t>
      </w:r>
      <w:r>
        <w:rPr>
          <w:rFonts w:ascii="Calibri" w:hAnsi="Calibri"/>
          <w:b/>
          <w:i w:val="0"/>
          <w:color w:val="333333"/>
          <w:sz w:val="20"/>
        </w:rPr>
        <w:t>400+ qualified opportunities annually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B2B Ecommerce: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a Webex freemium marketplace acquisition program with Compuage, generating </w:t>
      </w:r>
      <w:r>
        <w:rPr>
          <w:rFonts w:ascii="Calibri" w:hAnsi="Calibri"/>
          <w:b/>
          <w:i w:val="0"/>
          <w:color w:val="333333"/>
          <w:sz w:val="20"/>
        </w:rPr>
        <w:t>$1M in incremental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acquiring </w:t>
      </w:r>
      <w:r>
        <w:rPr>
          <w:rFonts w:ascii="Calibri" w:hAnsi="Calibri"/>
          <w:b/>
          <w:i w:val="0"/>
          <w:color w:val="333333"/>
          <w:sz w:val="20"/>
        </w:rPr>
        <w:t>6,000+ new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Partner &amp; Channel Marketing: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joint GTM and co-marketing programs with strategic distribution partners: Compuage (Webex freemium acquisition — </w:t>
      </w:r>
      <w:r>
        <w:rPr>
          <w:rFonts w:ascii="Calibri" w:hAnsi="Calibri"/>
          <w:b/>
          <w:i w:val="0"/>
          <w:color w:val="333333"/>
          <w:sz w:val="20"/>
        </w:rPr>
        <w:t>$1M incremental revenue, 6,000+ new users</w:t>
      </w:r>
      <w:r>
        <w:rPr>
          <w:rFonts w:ascii="Calibri" w:hAnsi="Calibri"/>
          <w:b w:val="0"/>
          <w:i w:val="0"/>
          <w:color w:val="333333"/>
          <w:sz w:val="20"/>
        </w:rPr>
        <w:t xml:space="preserve">), Redington (B2B marketplace — </w:t>
      </w:r>
      <w:r>
        <w:rPr>
          <w:rFonts w:ascii="Calibri" w:hAnsi="Calibri"/>
          <w:b/>
          <w:i w:val="0"/>
          <w:color w:val="333333"/>
          <w:sz w:val="20"/>
        </w:rPr>
        <w:t>$120K in new bookings</w:t>
      </w:r>
      <w:r>
        <w:rPr>
          <w:rFonts w:ascii="Calibri" w:hAnsi="Calibri"/>
          <w:b w:val="0"/>
          <w:i w:val="0"/>
          <w:color w:val="333333"/>
          <w:sz w:val="20"/>
        </w:rPr>
        <w:t xml:space="preserve">), and Ingram Micro (demand generation — </w:t>
      </w:r>
      <w:r>
        <w:rPr>
          <w:rFonts w:ascii="Calibri" w:hAnsi="Calibri"/>
          <w:b/>
          <w:i w:val="0"/>
          <w:color w:val="333333"/>
          <w:sz w:val="20"/>
        </w:rPr>
        <w:t>400 qualified leads, $4M+ pipeline</w:t>
      </w:r>
      <w:r>
        <w:rPr>
          <w:rFonts w:ascii="Calibri" w:hAnsi="Calibri"/>
          <w:b w:val="0"/>
          <w:i w:val="0"/>
          <w:color w:val="333333"/>
          <w:sz w:val="20"/>
        </w:rPr>
        <w:t>).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EARLIER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Network18 Media Ltd</w:t>
      </w:r>
      <w:r>
        <w:rPr>
          <w:rFonts w:ascii="Calibri" w:hAnsi="Calibri"/>
          <w:b w:val="0"/>
          <w:i/>
          <w:color w:val="555555"/>
          <w:sz w:val="20"/>
        </w:rPr>
        <w:t xml:space="preserve">  |  INTEGRATED MARKETING &amp; STRATEGIC INITIATIVES</w:t>
      </w:r>
      <w:r>
        <w:rPr>
          <w:rFonts w:ascii="Calibri" w:hAnsi="Calibri"/>
          <w:b w:val="0"/>
          <w:i/>
          <w:color w:val="555555"/>
          <w:sz w:val="18"/>
        </w:rPr>
        <w:tab/>
        <w:t>2009 – 2011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Executed integrated Display, Print, TV, and Event campaigns reaching </w:t>
      </w:r>
      <w:r>
        <w:rPr>
          <w:rFonts w:ascii="Calibri" w:hAnsi="Calibri"/>
          <w:b/>
          <w:i w:val="0"/>
          <w:color w:val="333333"/>
          <w:sz w:val="20"/>
        </w:rPr>
        <w:t>20M consumers</w:t>
      </w:r>
      <w:r>
        <w:rPr>
          <w:rFonts w:ascii="Calibri" w:hAnsi="Calibri"/>
          <w:b w:val="0"/>
          <w:i w:val="0"/>
          <w:color w:val="333333"/>
          <w:sz w:val="20"/>
        </w:rPr>
        <w:t>, driving audience growth.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Delivered a </w:t>
      </w:r>
      <w:r>
        <w:rPr>
          <w:rFonts w:ascii="Calibri" w:hAnsi="Calibri"/>
          <w:b/>
          <w:i w:val="0"/>
          <w:color w:val="333333"/>
          <w:sz w:val="20"/>
        </w:rPr>
        <w:t>15% increase in conversions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campaign management and consumer engagement supporting digital adoption.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Bennett Coleman &amp; Co Ltd (Times of India)</w:t>
      </w:r>
      <w:r>
        <w:rPr>
          <w:rFonts w:ascii="Calibri" w:hAnsi="Calibri"/>
          <w:b w:val="0"/>
          <w:i/>
          <w:color w:val="555555"/>
          <w:sz w:val="20"/>
        </w:rPr>
        <w:t xml:space="preserve">  |  MEDIA MARKETING &amp; ADVERTISEMENTS</w:t>
      </w:r>
      <w:r>
        <w:rPr>
          <w:rFonts w:ascii="Calibri" w:hAnsi="Calibri"/>
          <w:b w:val="0"/>
          <w:i/>
          <w:color w:val="555555"/>
          <w:sz w:val="18"/>
        </w:rPr>
        <w:tab/>
        <w:t>2003 – 2008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Expanded advertiser reach by </w:t>
      </w:r>
      <w:r>
        <w:rPr>
          <w:rFonts w:ascii="Calibri" w:hAnsi="Calibri"/>
          <w:b/>
          <w:i w:val="0"/>
          <w:color w:val="333333"/>
          <w:sz w:val="20"/>
        </w:rPr>
        <w:t>30%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cross-media campaign management across Print, Radio, Outdoor, TV, Digital, and Events.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campaign efficiency by </w:t>
      </w:r>
      <w:r>
        <w:rPr>
          <w:rFonts w:ascii="Calibri" w:hAnsi="Calibri"/>
          <w:b/>
          <w:i w:val="0"/>
          <w:color w:val="333333"/>
          <w:sz w:val="20"/>
        </w:rPr>
        <w:t>20%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coordinated campaign reporting and stakeholder communication.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TECHNOLOGY PROFICIENCY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Marketing Technology: </w:t>
      </w:r>
      <w:r>
        <w:rPr>
          <w:rFonts w:ascii="Calibri" w:hAnsi="Calibri"/>
          <w:b w:val="0"/>
          <w:i w:val="0"/>
          <w:color w:val="333333"/>
          <w:sz w:val="20"/>
        </w:rPr>
        <w:t>Salesforce CRM | Oracle Eloqua | Marketo Engage | HubSpot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Digital &amp; Analytics: </w:t>
      </w:r>
      <w:r>
        <w:rPr>
          <w:rFonts w:ascii="Calibri" w:hAnsi="Calibri"/>
          <w:b w:val="0"/>
          <w:i w:val="0"/>
          <w:color w:val="333333"/>
          <w:sz w:val="20"/>
        </w:rPr>
        <w:t>Google Analytics 4 (GA4) | Adobe Analytics | Google Search Console | Tableau | Domo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Paid &amp; Programmatic: </w:t>
      </w:r>
      <w:r>
        <w:rPr>
          <w:rFonts w:ascii="Calibri" w:hAnsi="Calibri"/>
          <w:b w:val="0"/>
          <w:i w:val="0"/>
          <w:color w:val="333333"/>
          <w:sz w:val="20"/>
        </w:rPr>
        <w:t>Google Ads | Meta Ads | LinkedIn Campaign Manager | DV360 | Campaign Manager 360 | YouTube Ads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ABM &amp; Collaboration: </w:t>
      </w:r>
      <w:r>
        <w:rPr>
          <w:rFonts w:ascii="Calibri" w:hAnsi="Calibri"/>
          <w:b w:val="0"/>
          <w:i w:val="0"/>
          <w:color w:val="333333"/>
          <w:sz w:val="20"/>
        </w:rPr>
        <w:t>Demandbase | 6sense | Jira | Asana | Slack | Miro | SharePoint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Website &amp; AI: </w:t>
      </w:r>
      <w:r>
        <w:rPr>
          <w:rFonts w:ascii="Calibri" w:hAnsi="Calibri"/>
          <w:b w:val="0"/>
          <w:i w:val="0"/>
          <w:color w:val="333333"/>
          <w:sz w:val="20"/>
        </w:rPr>
        <w:t>Adobe Experience Manager (AEM) | Cisco WEM | ChatGPT | Claude | n8n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CERTIFICATIONS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Artificial Intelligence Applications for Business Leaders</w:t>
      </w:r>
    </w:p>
    <w:p>
      <w:pPr>
        <w:spacing w:before="0" w:after="120" w:line="240" w:lineRule="auto"/>
      </w:pPr>
      <w:r>
        <w:rPr>
          <w:rFonts w:ascii="Calibri" w:hAnsi="Calibri"/>
          <w:b w:val="0"/>
          <w:i/>
          <w:color w:val="555555"/>
          <w:sz w:val="20"/>
        </w:rPr>
        <w:t>Outskill | Apr 2026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Google Marketing Platform Certification</w:t>
      </w:r>
    </w:p>
    <w:p>
      <w:pPr>
        <w:spacing w:before="0" w:after="120" w:line="240" w:lineRule="auto"/>
      </w:pPr>
      <w:r>
        <w:rPr>
          <w:rFonts w:ascii="Calibri" w:hAnsi="Calibri"/>
          <w:b w:val="0"/>
          <w:i/>
          <w:color w:val="555555"/>
          <w:sz w:val="20"/>
        </w:rPr>
        <w:t>Google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EDUCATION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Masters in Business Administration (MBA) – Marketing &amp; Finance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Army College of Materials Management, Jabalpur, India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