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F3864"/>
          <w:sz w:val="40"/>
        </w:rPr>
        <w:t>GAGAN DEEP GARG</w:t>
      </w:r>
    </w:p>
    <w:p>
      <w:pPr>
        <w:spacing w:before="0" w:after="60" w:line="240" w:lineRule="auto"/>
        <w:jc w:val="center"/>
      </w:pPr>
      <w:r>
        <w:rPr>
          <w:rFonts w:ascii="Calibri" w:hAnsi="Calibri"/>
          <w:b/>
          <w:i w:val="0"/>
          <w:color w:val="555555"/>
          <w:sz w:val="21"/>
        </w:rPr>
        <w:t>PAID MEDIA | MEDIA PLANNING, BUYING &amp; PROGRAMMATIC OPTIMIZATION | B2B SAAS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333333"/>
          <w:sz w:val="18"/>
        </w:rPr>
        <w:t>Open to Relocation  |  Open to Remote Opportunities</w:t>
      </w:r>
    </w:p>
    <w:p>
      <w:pPr>
        <w:spacing w:before="0" w:after="60" w:line="240" w:lineRule="auto"/>
        <w:jc w:val="center"/>
        <w:pBdr>
          <w:bottom w:val="single" w:sz="8" w:space="3" w:color="1F3864"/>
        </w:pBdr>
      </w:pPr>
      <w:r>
        <w:rPr>
          <w:rFonts w:ascii="Calibri" w:hAnsi="Calibri"/>
          <w:b w:val="0"/>
          <w:i w:val="0"/>
          <w:color w:val="333333"/>
          <w:sz w:val="18"/>
        </w:rPr>
        <w:t>+91 9871121860  •  gdgarg@gmail.com  •  linkedin.com/in/gdgarg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CAREER SUMMARY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333333"/>
          <w:sz w:val="20"/>
        </w:rPr>
        <w:t xml:space="preserve">Paid media leader with </w:t>
      </w:r>
      <w:r>
        <w:rPr>
          <w:rFonts w:ascii="Calibri" w:hAnsi="Calibri"/>
          <w:b/>
          <w:i w:val="0"/>
          <w:color w:val="333333"/>
          <w:sz w:val="20"/>
        </w:rPr>
        <w:t>20 years of experience</w:t>
      </w:r>
      <w:r>
        <w:rPr>
          <w:rFonts w:ascii="Calibri" w:hAnsi="Calibri"/>
          <w:b w:val="0"/>
          <w:i w:val="0"/>
          <w:color w:val="333333"/>
          <w:sz w:val="20"/>
        </w:rPr>
        <w:t xml:space="preserve"> driving </w:t>
      </w:r>
      <w:r>
        <w:rPr>
          <w:rFonts w:ascii="Calibri" w:hAnsi="Calibri"/>
          <w:b/>
          <w:i w:val="0"/>
          <w:color w:val="333333"/>
          <w:sz w:val="20"/>
        </w:rPr>
        <w:t>media planning, buying, and programmatic optimization</w:t>
      </w:r>
      <w:r>
        <w:rPr>
          <w:rFonts w:ascii="Calibri" w:hAnsi="Calibri"/>
          <w:b w:val="0"/>
          <w:i w:val="0"/>
          <w:color w:val="333333"/>
          <w:sz w:val="20"/>
        </w:rPr>
        <w:t xml:space="preserve"> for </w:t>
      </w:r>
      <w:r>
        <w:rPr>
          <w:rFonts w:ascii="Calibri" w:hAnsi="Calibri"/>
          <w:b/>
          <w:i w:val="0"/>
          <w:color w:val="333333"/>
          <w:sz w:val="20"/>
        </w:rPr>
        <w:t>B2B SaaS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technology organizations. Proven track record managing large-scale media investments, agency governance, and cross-channel optimization to deliver measurable efficiency, pipeline, and revenue outcomes.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CORE SKILLS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333333"/>
          <w:sz w:val="20"/>
        </w:rPr>
        <w:t>Paid Media Strategy  •  Media Planning &amp; Buying  •  Programmatic Advertising  •  Search &amp; Social Advertising  •  Video &amp; Display Advertising  •  Audience Targeting &amp; Segmentation  •  Remarketing &amp; Retargeting  •  Media Budget Management  •  Agency &amp; Vendor Management  •  Media Attribution &amp; Analytics  •  Campaign Optimization  •  Cross-channel Media Planning  •  Performance Marketing  •  Conversion Rate Optimization  •  GTM Strategy  •  AI-Enabled Media Operations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CAREER HIGHLIGHTS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Managed </w:t>
      </w:r>
      <w:r>
        <w:rPr>
          <w:rFonts w:ascii="Calibri" w:hAnsi="Calibri"/>
          <w:b/>
          <w:i w:val="0"/>
          <w:color w:val="333333"/>
          <w:sz w:val="20"/>
        </w:rPr>
        <w:t>$4M+ annual media investments</w:t>
      </w:r>
      <w:r>
        <w:rPr>
          <w:rFonts w:ascii="Calibri" w:hAnsi="Calibri"/>
          <w:b w:val="0"/>
          <w:i w:val="0"/>
          <w:color w:val="333333"/>
          <w:sz w:val="20"/>
        </w:rPr>
        <w:t xml:space="preserve"> across Search, Social, Programmatic, Video, and Mobile, delivering </w:t>
      </w:r>
      <w:r>
        <w:rPr>
          <w:rFonts w:ascii="Calibri" w:hAnsi="Calibri"/>
          <w:b/>
          <w:i w:val="0"/>
          <w:color w:val="333333"/>
          <w:sz w:val="20"/>
        </w:rPr>
        <w:t>15x ROMI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disciplined governance.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Reduced </w:t>
      </w:r>
      <w:r>
        <w:rPr>
          <w:rFonts w:ascii="Calibri" w:hAnsi="Calibri"/>
          <w:b/>
          <w:i w:val="0"/>
          <w:color w:val="333333"/>
          <w:sz w:val="20"/>
        </w:rPr>
        <w:t>CPA/CAC by 15–17%</w:t>
      </w:r>
      <w:r>
        <w:rPr>
          <w:rFonts w:ascii="Calibri" w:hAnsi="Calibri"/>
          <w:b w:val="0"/>
          <w:i w:val="0"/>
          <w:color w:val="333333"/>
          <w:sz w:val="20"/>
        </w:rPr>
        <w:t xml:space="preserve"> while improving </w:t>
      </w:r>
      <w:r>
        <w:rPr>
          <w:rFonts w:ascii="Calibri" w:hAnsi="Calibri"/>
          <w:b/>
          <w:i w:val="0"/>
          <w:color w:val="333333"/>
          <w:sz w:val="20"/>
        </w:rPr>
        <w:t>qualified conversions by 22%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audience targeting and bid optimization.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Directed media agency partners (Mindshare, GroupM, Dentsu, Publicis, Omnicom, Neo) across planning, buying, and performance optimization.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</w:t>
      </w:r>
      <w:r>
        <w:rPr>
          <w:rFonts w:ascii="Calibri" w:hAnsi="Calibri"/>
          <w:b/>
          <w:i w:val="0"/>
          <w:color w:val="333333"/>
          <w:sz w:val="20"/>
        </w:rPr>
        <w:t>marketing attribution visibility by 25%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GA4 and Salesforce-powered media reporting frameworks.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Drove paid acquisition strategy behind a Webex freemium marketplace program with Compuage, generating </w:t>
      </w:r>
      <w:r>
        <w:rPr>
          <w:rFonts w:ascii="Calibri" w:hAnsi="Calibri"/>
          <w:b/>
          <w:i w:val="0"/>
          <w:color w:val="333333"/>
          <w:sz w:val="20"/>
        </w:rPr>
        <w:t>$1M in incremental revenue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</w:t>
      </w:r>
      <w:r>
        <w:rPr>
          <w:rFonts w:ascii="Calibri" w:hAnsi="Calibri"/>
          <w:b/>
          <w:i w:val="0"/>
          <w:color w:val="333333"/>
          <w:sz w:val="20"/>
        </w:rPr>
        <w:t>6,000+ new users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Reduced manual media reporting effort by </w:t>
      </w:r>
      <w:r>
        <w:rPr>
          <w:rFonts w:ascii="Calibri" w:hAnsi="Calibri"/>
          <w:b/>
          <w:i w:val="0"/>
          <w:color w:val="333333"/>
          <w:sz w:val="20"/>
        </w:rPr>
        <w:t>30+ hours per week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AI-enabled workflow automation.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LEADERSHIP EXPERIENCE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CIVICA UK Ltd</w:t>
      </w:r>
      <w:r>
        <w:rPr>
          <w:rFonts w:ascii="Calibri" w:hAnsi="Calibri"/>
          <w:b w:val="0"/>
          <w:i/>
          <w:color w:val="555555"/>
          <w:sz w:val="20"/>
        </w:rPr>
        <w:t xml:space="preserve">  |  GLOBAL PAID MEDIA &amp; PROGRAMMATIC STRATEGY</w:t>
      </w:r>
      <w:r>
        <w:rPr>
          <w:rFonts w:ascii="Calibri" w:hAnsi="Calibri"/>
          <w:b w:val="0"/>
          <w:i/>
          <w:color w:val="555555"/>
          <w:sz w:val="18"/>
        </w:rPr>
        <w:tab/>
        <w:t>Aug 2026 – Present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333333"/>
          <w:sz w:val="20"/>
        </w:rPr>
        <w:t>Own programmatic and display advertising</w:t>
      </w:r>
      <w:r>
        <w:rPr>
          <w:rFonts w:ascii="Calibri" w:hAnsi="Calibri"/>
          <w:b w:val="0"/>
          <w:i w:val="0"/>
          <w:color w:val="333333"/>
          <w:sz w:val="20"/>
        </w:rPr>
        <w:t xml:space="preserve"> across Americas, Europe, and APJC, aligning paid media budget and social investment to translate campaign performance into pipeline recommendations.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Scale paid media performance with focused emphasis on </w:t>
      </w:r>
      <w:r>
        <w:rPr>
          <w:rFonts w:ascii="Calibri" w:hAnsi="Calibri"/>
          <w:b/>
          <w:i w:val="0"/>
          <w:color w:val="333333"/>
          <w:sz w:val="20"/>
        </w:rPr>
        <w:t>North America and APAC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AI-powered lifecycle journeys aligned with sales sprint motions.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Partner with RevOps on marketing automation via Salesforce Marketing Cloud</w:t>
      </w:r>
      <w:r>
        <w:rPr>
          <w:rFonts w:ascii="Calibri" w:hAnsi="Calibri"/>
          <w:b w:val="0"/>
          <w:i w:val="0"/>
          <w:color w:val="333333"/>
          <w:sz w:val="20"/>
        </w:rPr>
        <w:t xml:space="preserve">, activating </w:t>
      </w:r>
      <w:r>
        <w:rPr>
          <w:rFonts w:ascii="Calibri" w:hAnsi="Calibri"/>
          <w:b/>
          <w:i w:val="0"/>
          <w:color w:val="333333"/>
          <w:sz w:val="20"/>
        </w:rPr>
        <w:t>1:1, 1:Few, and 1:Many</w:t>
      </w:r>
      <w:r>
        <w:rPr>
          <w:rFonts w:ascii="Calibri" w:hAnsi="Calibri"/>
          <w:b w:val="0"/>
          <w:i w:val="0"/>
          <w:color w:val="333333"/>
          <w:sz w:val="20"/>
        </w:rPr>
        <w:t xml:space="preserve"> paid targeting tiers to lift conversions </w:t>
      </w:r>
      <w:r>
        <w:rPr>
          <w:rFonts w:ascii="Calibri" w:hAnsi="Calibri"/>
          <w:b/>
          <w:i w:val="0"/>
          <w:color w:val="333333"/>
          <w:sz w:val="20"/>
        </w:rPr>
        <w:t>20%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Keysight Technologies Ltd</w:t>
      </w:r>
      <w:r>
        <w:rPr>
          <w:rFonts w:ascii="Calibri" w:hAnsi="Calibri"/>
          <w:b w:val="0"/>
          <w:i/>
          <w:color w:val="555555"/>
          <w:sz w:val="20"/>
        </w:rPr>
        <w:t xml:space="preserve">  |  GLOBAL DIGITAL MARKETING (Americas, Europe &amp; APJC)</w:t>
      </w:r>
      <w:r>
        <w:rPr>
          <w:rFonts w:ascii="Calibri" w:hAnsi="Calibri"/>
          <w:b w:val="0"/>
          <w:i/>
          <w:color w:val="555555"/>
          <w:sz w:val="18"/>
        </w:rPr>
        <w:tab/>
        <w:t>Jul 2024 – Mar 2026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Owned </w:t>
      </w:r>
      <w:r>
        <w:rPr>
          <w:rFonts w:ascii="Calibri" w:hAnsi="Calibri"/>
          <w:b/>
          <w:i w:val="0"/>
          <w:color w:val="333333"/>
          <w:sz w:val="20"/>
        </w:rPr>
        <w:t>paid media and digital investment strategy</w:t>
      </w:r>
      <w:r>
        <w:rPr>
          <w:rFonts w:ascii="Calibri" w:hAnsi="Calibri"/>
          <w:b w:val="0"/>
          <w:i w:val="0"/>
          <w:color w:val="333333"/>
          <w:sz w:val="20"/>
        </w:rPr>
        <w:t xml:space="preserve"> across India and the broader APJC region, aligning budget allocation with pipeline and customer acquisition goals.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Led programmatic, search, and social media buying across Google Ads, Meta Ads, LinkedIn Campaign Manager, and DV360.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Managed ABM-aligned paid media programs supporting enterprise account engagement and penetration.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Drove media analytics, attribution, and executive reporting frameworks across the paid media funnel.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qualified conversions by </w:t>
      </w:r>
      <w:r>
        <w:rPr>
          <w:rFonts w:ascii="Calibri" w:hAnsi="Calibri"/>
          <w:b/>
          <w:i w:val="0"/>
          <w:color w:val="333333"/>
          <w:sz w:val="20"/>
        </w:rPr>
        <w:t>22%</w:t>
      </w:r>
      <w:r>
        <w:rPr>
          <w:rFonts w:ascii="Calibri" w:hAnsi="Calibri"/>
          <w:b w:val="0"/>
          <w:i w:val="0"/>
          <w:color w:val="333333"/>
          <w:sz w:val="20"/>
        </w:rPr>
        <w:t xml:space="preserve"> while reducing CPA by </w:t>
      </w:r>
      <w:r>
        <w:rPr>
          <w:rFonts w:ascii="Calibri" w:hAnsi="Calibri"/>
          <w:b/>
          <w:i w:val="0"/>
          <w:color w:val="333333"/>
          <w:sz w:val="20"/>
        </w:rPr>
        <w:t>17%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experimentation and audience segmentation.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Drove AI adoption across media planning and reporting workflows, improving execution speed.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Cisco Systems Ltd</w:t>
      </w:r>
      <w:r>
        <w:rPr>
          <w:rFonts w:ascii="Calibri" w:hAnsi="Calibri"/>
          <w:b w:val="0"/>
          <w:i/>
          <w:color w:val="555555"/>
          <w:sz w:val="20"/>
        </w:rPr>
        <w:t xml:space="preserve">  |  REGIONAL DIGITAL MARKETING – PAID MEDIA, ABM &amp; DEMAND GEN</w:t>
      </w:r>
      <w:r>
        <w:rPr>
          <w:rFonts w:ascii="Calibri" w:hAnsi="Calibri"/>
          <w:b w:val="0"/>
          <w:i/>
          <w:color w:val="555555"/>
          <w:sz w:val="18"/>
        </w:rPr>
        <w:tab/>
        <w:t>Feb 2011 – Apr 2024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Led media planning, buying, and optimization across </w:t>
      </w:r>
      <w:r>
        <w:rPr>
          <w:rFonts w:ascii="Calibri" w:hAnsi="Calibri"/>
          <w:b/>
          <w:i w:val="0"/>
          <w:color w:val="333333"/>
          <w:sz w:val="20"/>
        </w:rPr>
        <w:t>14+ APJC markets</w:t>
      </w:r>
      <w:r>
        <w:rPr>
          <w:rFonts w:ascii="Calibri" w:hAnsi="Calibri"/>
          <w:b w:val="0"/>
          <w:i w:val="0"/>
          <w:color w:val="333333"/>
          <w:sz w:val="20"/>
        </w:rPr>
        <w:t xml:space="preserve">, spanning search, social, programmatic, video, mobile, and display — including growing Cisco India's social media presence to </w:t>
      </w:r>
      <w:r>
        <w:rPr>
          <w:rFonts w:ascii="Calibri" w:hAnsi="Calibri"/>
          <w:b/>
          <w:i w:val="0"/>
          <w:color w:val="333333"/>
          <w:sz w:val="20"/>
        </w:rPr>
        <w:t>100,000+ organic followers within 12 months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Managed </w:t>
      </w:r>
      <w:r>
        <w:rPr>
          <w:rFonts w:ascii="Calibri" w:hAnsi="Calibri"/>
          <w:b/>
          <w:i w:val="0"/>
          <w:color w:val="333333"/>
          <w:sz w:val="20"/>
        </w:rPr>
        <w:t>$4M+ annual media investment</w:t>
      </w:r>
      <w:r>
        <w:rPr>
          <w:rFonts w:ascii="Calibri" w:hAnsi="Calibri"/>
          <w:b w:val="0"/>
          <w:i w:val="0"/>
          <w:color w:val="333333"/>
          <w:sz w:val="20"/>
        </w:rPr>
        <w:t>, directing agency partners including Mindshare, GroupM, Dentsu, Publicis, Omnicom, and Neo.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Owned cross-channel media strategy integrating paid, owned, and earned channels to maximize reach and efficiency.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Reduced CPA/CAC by </w:t>
      </w:r>
      <w:r>
        <w:rPr>
          <w:rFonts w:ascii="Calibri" w:hAnsi="Calibri"/>
          <w:b/>
          <w:i w:val="0"/>
          <w:color w:val="333333"/>
          <w:sz w:val="20"/>
        </w:rPr>
        <w:t>15–17%</w:t>
      </w:r>
      <w:r>
        <w:rPr>
          <w:rFonts w:ascii="Calibri" w:hAnsi="Calibri"/>
          <w:b w:val="0"/>
          <w:i w:val="0"/>
          <w:color w:val="333333"/>
          <w:sz w:val="20"/>
        </w:rPr>
        <w:t xml:space="preserve"> while improving qualified conversions by </w:t>
      </w:r>
      <w:r>
        <w:rPr>
          <w:rFonts w:ascii="Calibri" w:hAnsi="Calibri"/>
          <w:b/>
          <w:i w:val="0"/>
          <w:color w:val="333333"/>
          <w:sz w:val="20"/>
        </w:rPr>
        <w:t>22%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targeting and bid optimization.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Modernized media measurement through GA4 and Salesforce integration, improving attribution visibility by </w:t>
      </w:r>
      <w:r>
        <w:rPr>
          <w:rFonts w:ascii="Calibri" w:hAnsi="Calibri"/>
          <w:b/>
          <w:i w:val="0"/>
          <w:color w:val="333333"/>
          <w:sz w:val="20"/>
        </w:rPr>
        <w:t>25%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Led remarketing and retargeting programs to improve conversion efficiency across the funnel.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Led and developed a team of </w:t>
      </w:r>
      <w:r>
        <w:rPr>
          <w:rFonts w:ascii="Calibri" w:hAnsi="Calibri"/>
          <w:b/>
          <w:i w:val="0"/>
          <w:color w:val="333333"/>
          <w:sz w:val="20"/>
        </w:rPr>
        <w:t>5 marketing professionals</w:t>
      </w:r>
      <w:r>
        <w:rPr>
          <w:rFonts w:ascii="Calibri" w:hAnsi="Calibri"/>
          <w:b w:val="0"/>
          <w:i w:val="0"/>
          <w:color w:val="333333"/>
          <w:sz w:val="20"/>
        </w:rPr>
        <w:t>; ran the Cisco Interaction Network webinar series, engaging 1,000 IT decision-makers and influencers monthly for 5 years.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Generated </w:t>
      </w:r>
      <w:r>
        <w:rPr>
          <w:rFonts w:ascii="Calibri" w:hAnsi="Calibri"/>
          <w:b/>
          <w:i w:val="0"/>
          <w:color w:val="333333"/>
          <w:sz w:val="20"/>
        </w:rPr>
        <w:t>400 qualified leads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</w:t>
      </w:r>
      <w:r>
        <w:rPr>
          <w:rFonts w:ascii="Calibri" w:hAnsi="Calibri"/>
          <w:b/>
          <w:i w:val="0"/>
          <w:color w:val="333333"/>
          <w:sz w:val="20"/>
        </w:rPr>
        <w:t>$4M+ in pipeline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a demand generation campaign with Ingram Micro.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PROJECTS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333333"/>
          <w:sz w:val="20"/>
        </w:rPr>
        <w:t xml:space="preserve">APJC Media Planning: </w:t>
      </w:r>
      <w:r>
        <w:rPr>
          <w:rFonts w:ascii="Calibri" w:hAnsi="Calibri"/>
          <w:b w:val="0"/>
          <w:i w:val="0"/>
          <w:color w:val="333333"/>
          <w:sz w:val="20"/>
        </w:rPr>
        <w:t xml:space="preserve">Governed enterprise media investments across APJC, delivering </w:t>
      </w:r>
      <w:r>
        <w:rPr>
          <w:rFonts w:ascii="Calibri" w:hAnsi="Calibri"/>
          <w:b/>
          <w:i w:val="0"/>
          <w:color w:val="333333"/>
          <w:sz w:val="20"/>
        </w:rPr>
        <w:t>15x ROMI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reducing </w:t>
      </w:r>
      <w:r>
        <w:rPr>
          <w:rFonts w:ascii="Calibri" w:hAnsi="Calibri"/>
          <w:b/>
          <w:i w:val="0"/>
          <w:color w:val="333333"/>
          <w:sz w:val="20"/>
        </w:rPr>
        <w:t>CPA/CAC by 15–17%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agency-led planning and optimization.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333333"/>
          <w:sz w:val="20"/>
        </w:rPr>
        <w:t xml:space="preserve">B2B Ecommerce: </w:t>
      </w:r>
      <w:r>
        <w:rPr>
          <w:rFonts w:ascii="Calibri" w:hAnsi="Calibri"/>
          <w:b w:val="0"/>
          <w:i w:val="0"/>
          <w:color w:val="333333"/>
          <w:sz w:val="20"/>
        </w:rPr>
        <w:t xml:space="preserve">Led paid acquisition strategy for a Webex freemium marketplace program with Compuage, generating </w:t>
      </w:r>
      <w:r>
        <w:rPr>
          <w:rFonts w:ascii="Calibri" w:hAnsi="Calibri"/>
          <w:b/>
          <w:i w:val="0"/>
          <w:color w:val="333333"/>
          <w:sz w:val="20"/>
        </w:rPr>
        <w:t>$1M in incremental revenue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acquiring </w:t>
      </w:r>
      <w:r>
        <w:rPr>
          <w:rFonts w:ascii="Calibri" w:hAnsi="Calibri"/>
          <w:b/>
          <w:i w:val="0"/>
          <w:color w:val="333333"/>
          <w:sz w:val="20"/>
        </w:rPr>
        <w:t>6,000+ new users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333333"/>
          <w:sz w:val="20"/>
        </w:rPr>
        <w:t xml:space="preserve">Marketing Measurement Framework: </w:t>
      </w:r>
      <w:r>
        <w:rPr>
          <w:rFonts w:ascii="Calibri" w:hAnsi="Calibri"/>
          <w:b w:val="0"/>
          <w:i w:val="0"/>
          <w:color w:val="333333"/>
          <w:sz w:val="20"/>
        </w:rPr>
        <w:t xml:space="preserve">Built standardized media and attribution dashboards spanning campaign, media, and pipeline reporting, improving </w:t>
      </w:r>
      <w:r>
        <w:rPr>
          <w:rFonts w:ascii="Calibri" w:hAnsi="Calibri"/>
          <w:b/>
          <w:i w:val="0"/>
          <w:color w:val="333333"/>
          <w:sz w:val="20"/>
        </w:rPr>
        <w:t>attribution visibility by 25%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333333"/>
          <w:sz w:val="20"/>
        </w:rPr>
        <w:t xml:space="preserve">Partner Marketplace Program: </w:t>
      </w:r>
      <w:r>
        <w:rPr>
          <w:rFonts w:ascii="Calibri" w:hAnsi="Calibri"/>
          <w:b w:val="0"/>
          <w:i w:val="0"/>
          <w:color w:val="333333"/>
          <w:sz w:val="20"/>
        </w:rPr>
        <w:t xml:space="preserve">Executed a B2B marketplace program with Redington, generating </w:t>
      </w:r>
      <w:r>
        <w:rPr>
          <w:rFonts w:ascii="Calibri" w:hAnsi="Calibri"/>
          <w:b/>
          <w:i w:val="0"/>
          <w:color w:val="333333"/>
          <w:sz w:val="20"/>
        </w:rPr>
        <w:t>$120K in new bookings</w:t>
      </w:r>
      <w:r>
        <w:rPr>
          <w:rFonts w:ascii="Calibri" w:hAnsi="Calibri"/>
          <w:b w:val="0"/>
          <w:i w:val="0"/>
          <w:color w:val="333333"/>
          <w:sz w:val="20"/>
        </w:rPr>
        <w:t xml:space="preserve"> within 12 months.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EARLIER EXPERIENCE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Network18 Media Ltd</w:t>
      </w:r>
      <w:r>
        <w:rPr>
          <w:rFonts w:ascii="Calibri" w:hAnsi="Calibri"/>
          <w:b w:val="0"/>
          <w:i/>
          <w:color w:val="555555"/>
          <w:sz w:val="20"/>
        </w:rPr>
        <w:t xml:space="preserve">  |  INTEGRATED MARKETING &amp; STRATEGIC INITIATIVES</w:t>
      </w:r>
      <w:r>
        <w:rPr>
          <w:rFonts w:ascii="Calibri" w:hAnsi="Calibri"/>
          <w:b w:val="0"/>
          <w:i/>
          <w:color w:val="555555"/>
          <w:sz w:val="18"/>
        </w:rPr>
        <w:tab/>
        <w:t>2009 – 2011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Executed integrated Display, Print, TV, and Event campaigns reaching </w:t>
      </w:r>
      <w:r>
        <w:rPr>
          <w:rFonts w:ascii="Calibri" w:hAnsi="Calibri"/>
          <w:b/>
          <w:i w:val="0"/>
          <w:color w:val="333333"/>
          <w:sz w:val="20"/>
        </w:rPr>
        <w:t>20M consumers</w:t>
      </w:r>
      <w:r>
        <w:rPr>
          <w:rFonts w:ascii="Calibri" w:hAnsi="Calibri"/>
          <w:b w:val="0"/>
          <w:i w:val="0"/>
          <w:color w:val="333333"/>
          <w:sz w:val="20"/>
        </w:rPr>
        <w:t>, driving audience growth.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Delivered a </w:t>
      </w:r>
      <w:r>
        <w:rPr>
          <w:rFonts w:ascii="Calibri" w:hAnsi="Calibri"/>
          <w:b/>
          <w:i w:val="0"/>
          <w:color w:val="333333"/>
          <w:sz w:val="20"/>
        </w:rPr>
        <w:t>15% increase in conversions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campaign management and consumer engagement supporting digital adoption.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Bennett Coleman &amp; Co Ltd (Times of India)</w:t>
      </w:r>
      <w:r>
        <w:rPr>
          <w:rFonts w:ascii="Calibri" w:hAnsi="Calibri"/>
          <w:b w:val="0"/>
          <w:i/>
          <w:color w:val="555555"/>
          <w:sz w:val="20"/>
        </w:rPr>
        <w:t xml:space="preserve">  |  MEDIA MARKETING &amp; ADVERTISEMENTS</w:t>
      </w:r>
      <w:r>
        <w:rPr>
          <w:rFonts w:ascii="Calibri" w:hAnsi="Calibri"/>
          <w:b w:val="0"/>
          <w:i/>
          <w:color w:val="555555"/>
          <w:sz w:val="18"/>
        </w:rPr>
        <w:tab/>
        <w:t>2003 – 2008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Expanded advertiser reach by </w:t>
      </w:r>
      <w:r>
        <w:rPr>
          <w:rFonts w:ascii="Calibri" w:hAnsi="Calibri"/>
          <w:b/>
          <w:i w:val="0"/>
          <w:color w:val="333333"/>
          <w:sz w:val="20"/>
        </w:rPr>
        <w:t>30%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cross-media campaign management across Print, Radio, Outdoor, TV, Digital, and Events.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campaign efficiency by </w:t>
      </w:r>
      <w:r>
        <w:rPr>
          <w:rFonts w:ascii="Calibri" w:hAnsi="Calibri"/>
          <w:b/>
          <w:i w:val="0"/>
          <w:color w:val="333333"/>
          <w:sz w:val="20"/>
        </w:rPr>
        <w:t>20%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coordinated campaign reporting and stakeholder communication.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TECHNOLOGY PROFICIENCY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Paid &amp; Programmatic: </w:t>
      </w:r>
      <w:r>
        <w:rPr>
          <w:rFonts w:ascii="Calibri" w:hAnsi="Calibri"/>
          <w:b w:val="0"/>
          <w:i w:val="0"/>
          <w:color w:val="333333"/>
          <w:sz w:val="20"/>
        </w:rPr>
        <w:t>Google Ads | Meta Ads | LinkedIn Campaign Manager | Microsoft Advertising | DV360 | Campaign Manager 360 | YouTube Ads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Digital &amp; Analytics: </w:t>
      </w:r>
      <w:r>
        <w:rPr>
          <w:rFonts w:ascii="Calibri" w:hAnsi="Calibri"/>
          <w:b w:val="0"/>
          <w:i w:val="0"/>
          <w:color w:val="333333"/>
          <w:sz w:val="20"/>
        </w:rPr>
        <w:t>Google Analytics 4 (GA4) | Adobe Analytics | Google Search Console | Tableau | Domo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CRM &amp; Marketing Automation: </w:t>
      </w:r>
      <w:r>
        <w:rPr>
          <w:rFonts w:ascii="Calibri" w:hAnsi="Calibri"/>
          <w:b w:val="0"/>
          <w:i w:val="0"/>
          <w:color w:val="333333"/>
          <w:sz w:val="20"/>
        </w:rPr>
        <w:t>Salesforce CRM | Salesforce Marketing Cloud | Oracle Eloqua | Marketo Engage | HubSpot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Website &amp; AI: </w:t>
      </w:r>
      <w:r>
        <w:rPr>
          <w:rFonts w:ascii="Calibri" w:hAnsi="Calibri"/>
          <w:b w:val="0"/>
          <w:i w:val="0"/>
          <w:color w:val="333333"/>
          <w:sz w:val="20"/>
        </w:rPr>
        <w:t>Adobe Experience Manager (AEM) | Cisco WEM | ChatGPT | Claude | n8n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CERTIFICATIONS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Artificial Intelligence Applications for Business Leaders</w:t>
      </w:r>
    </w:p>
    <w:p>
      <w:pPr>
        <w:spacing w:before="0" w:after="120" w:line="240" w:lineRule="auto"/>
      </w:pPr>
      <w:r>
        <w:rPr>
          <w:rFonts w:ascii="Calibri" w:hAnsi="Calibri"/>
          <w:b w:val="0"/>
          <w:i/>
          <w:color w:val="555555"/>
          <w:sz w:val="20"/>
        </w:rPr>
        <w:t>Outskill | Apr 2026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Google Marketing Platform Certification</w:t>
      </w:r>
    </w:p>
    <w:p>
      <w:pPr>
        <w:spacing w:before="0" w:after="120" w:line="240" w:lineRule="auto"/>
      </w:pPr>
      <w:r>
        <w:rPr>
          <w:rFonts w:ascii="Calibri" w:hAnsi="Calibri"/>
          <w:b w:val="0"/>
          <w:i/>
          <w:color w:val="555555"/>
          <w:sz w:val="20"/>
        </w:rPr>
        <w:t>Google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EDUCATION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Masters in Business Administration (MBA) – Marketing &amp; Finance</w:t>
      </w:r>
    </w:p>
    <w:p>
      <w:pPr>
        <w:spacing w:before="0" w:after="0" w:line="240" w:lineRule="auto"/>
      </w:pPr>
      <w:r>
        <w:rPr>
          <w:rFonts w:ascii="Calibri" w:hAnsi="Calibri"/>
          <w:b w:val="0"/>
          <w:i/>
          <w:color w:val="555555"/>
          <w:sz w:val="20"/>
        </w:rPr>
        <w:t>Army College of Materials Management, Jabalpur, India</w:t>
      </w:r>
    </w:p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GARG</dc:creator>
  <cp:keywords/>
  <cp:lastModifiedBy/>
  <cp:revision>1</cp:revision>
  <dcterms:created xsi:type="dcterms:W3CDTF">2013-12-23T23:15:00Z</dcterms:created>
  <dcterms:modified xsi:type="dcterms:W3CDTF">2013-12-23T23:15:00Z</dcterms:modified>
  <cp:category/>
</cp:coreProperties>
</file>