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</w:rPr>
        <w:t>GAGAN DEEP GARG</w:t>
      </w:r>
    </w:p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color w:val="555555"/>
          <w:sz w:val="21"/>
        </w:rPr>
        <w:t>PERFORMANCE MARKETING | CONVERSION OPTIMIZATION, ROI &amp; MARKETING ANALYTICS | B2B SAAS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333333"/>
          <w:sz w:val="18"/>
        </w:rPr>
        <w:t>Open to Relocation  |  Open to Remote Opportunities</w:t>
      </w:r>
    </w:p>
    <w:p>
      <w:pPr>
        <w:spacing w:before="0" w:after="60" w:line="240" w:lineRule="auto"/>
        <w:jc w:val="center"/>
        <w:pBdr>
          <w:bottom w:val="single" w:sz="8" w:space="3" w:color="1F3864"/>
        </w:pBdr>
      </w:pPr>
      <w:r>
        <w:rPr>
          <w:rFonts w:ascii="Calibri" w:hAnsi="Calibri"/>
          <w:b w:val="0"/>
          <w:i w:val="0"/>
          <w:color w:val="333333"/>
          <w:sz w:val="18"/>
        </w:rPr>
        <w:t>+91 9871121860  •  gdgarg@gmail.com  •  linkedin.com/in/gdgarg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CAREER 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333333"/>
          <w:sz w:val="20"/>
        </w:rPr>
        <w:t xml:space="preserve">Performance marketing leader with </w:t>
      </w:r>
      <w:r>
        <w:rPr>
          <w:rFonts w:ascii="Calibri" w:hAnsi="Calibri"/>
          <w:b/>
          <w:i w:val="0"/>
          <w:color w:val="333333"/>
          <w:sz w:val="20"/>
        </w:rPr>
        <w:t>20 years of experience</w:t>
      </w:r>
      <w:r>
        <w:rPr>
          <w:rFonts w:ascii="Calibri" w:hAnsi="Calibri"/>
          <w:b w:val="0"/>
          <w:i w:val="0"/>
          <w:color w:val="333333"/>
          <w:sz w:val="20"/>
        </w:rPr>
        <w:t xml:space="preserve"> driving </w:t>
      </w:r>
      <w:r>
        <w:rPr>
          <w:rFonts w:ascii="Calibri" w:hAnsi="Calibri"/>
          <w:b/>
          <w:i w:val="0"/>
          <w:color w:val="333333"/>
          <w:sz w:val="20"/>
        </w:rPr>
        <w:t>conversion optimization</w:t>
      </w:r>
      <w:r>
        <w:rPr>
          <w:rFonts w:ascii="Calibri" w:hAnsi="Calibri"/>
          <w:b w:val="0"/>
          <w:i w:val="0"/>
          <w:color w:val="333333"/>
          <w:sz w:val="20"/>
        </w:rPr>
        <w:t xml:space="preserve">, </w:t>
      </w:r>
      <w:r>
        <w:rPr>
          <w:rFonts w:ascii="Calibri" w:hAnsi="Calibri"/>
          <w:b/>
          <w:i w:val="0"/>
          <w:color w:val="333333"/>
          <w:sz w:val="20"/>
        </w:rPr>
        <w:t>marketing attribution</w:t>
      </w:r>
      <w:r>
        <w:rPr>
          <w:rFonts w:ascii="Calibri" w:hAnsi="Calibri"/>
          <w:b w:val="0"/>
          <w:i w:val="0"/>
          <w:color w:val="333333"/>
          <w:sz w:val="20"/>
        </w:rPr>
        <w:t xml:space="preserve">, and </w:t>
      </w:r>
      <w:r>
        <w:rPr>
          <w:rFonts w:ascii="Calibri" w:hAnsi="Calibri"/>
          <w:b/>
          <w:i w:val="0"/>
          <w:color w:val="333333"/>
          <w:sz w:val="20"/>
        </w:rPr>
        <w:t>ROI-led decision-making</w:t>
      </w:r>
      <w:r>
        <w:rPr>
          <w:rFonts w:ascii="Calibri" w:hAnsi="Calibri"/>
          <w:b w:val="0"/>
          <w:i w:val="0"/>
          <w:color w:val="333333"/>
          <w:sz w:val="20"/>
        </w:rPr>
        <w:t xml:space="preserve"> for </w:t>
      </w:r>
      <w:r>
        <w:rPr>
          <w:rFonts w:ascii="Calibri" w:hAnsi="Calibri"/>
          <w:b/>
          <w:i w:val="0"/>
          <w:color w:val="333333"/>
          <w:sz w:val="20"/>
        </w:rPr>
        <w:t>B2B SaaS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technology organizations. Proven track record improving media efficiency, executive dashboarding, and revenue-aligned investment to deliver measurable business outcomes.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CORE SKILLS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333333"/>
          <w:sz w:val="20"/>
        </w:rPr>
        <w:t>Performance Marketing Strategy  •  Conversion Rate Optimization (CRO)  •  Marketing Attribution  •  A/B &amp; Multivariate Testing  •  Campaign &amp; Bid Optimization  •  Paid Search &amp; Paid Social  •  Marketing Analytics &amp; Reporting  •  Executive Dashboard Development  •  Data-Driven Decision Making  •  Customer Acquisition  •  Audience Optimization  •  Revenue &amp; ROI Optimization  •  Budget &amp; Media Efficiency Management  •  Business Intelligence  •  GTM Strategy  •  AI-Enabled Marketing Analytics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CAREER HIGHLIGHTS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Managed </w:t>
      </w:r>
      <w:r>
        <w:rPr>
          <w:rFonts w:ascii="Calibri" w:hAnsi="Calibri"/>
          <w:b/>
          <w:i w:val="0"/>
          <w:color w:val="333333"/>
          <w:sz w:val="20"/>
        </w:rPr>
        <w:t>$4M+ marketing investments</w:t>
      </w:r>
      <w:r>
        <w:rPr>
          <w:rFonts w:ascii="Calibri" w:hAnsi="Calibri"/>
          <w:b w:val="0"/>
          <w:i w:val="0"/>
          <w:color w:val="333333"/>
          <w:sz w:val="20"/>
        </w:rPr>
        <w:t xml:space="preserve">, delivering </w:t>
      </w:r>
      <w:r>
        <w:rPr>
          <w:rFonts w:ascii="Calibri" w:hAnsi="Calibri"/>
          <w:b/>
          <w:i w:val="0"/>
          <w:color w:val="333333"/>
          <w:sz w:val="20"/>
        </w:rPr>
        <w:t>15x ROMI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performance-led optimization.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Reduced </w:t>
      </w:r>
      <w:r>
        <w:rPr>
          <w:rFonts w:ascii="Calibri" w:hAnsi="Calibri"/>
          <w:b/>
          <w:i w:val="0"/>
          <w:color w:val="333333"/>
          <w:sz w:val="20"/>
        </w:rPr>
        <w:t>CPA/CAC by 15–17%</w:t>
      </w:r>
      <w:r>
        <w:rPr>
          <w:rFonts w:ascii="Calibri" w:hAnsi="Calibri"/>
          <w:b w:val="0"/>
          <w:i w:val="0"/>
          <w:color w:val="333333"/>
          <w:sz w:val="20"/>
        </w:rPr>
        <w:t xml:space="preserve"> while improving </w:t>
      </w:r>
      <w:r>
        <w:rPr>
          <w:rFonts w:ascii="Calibri" w:hAnsi="Calibri"/>
          <w:b/>
          <w:i w:val="0"/>
          <w:color w:val="333333"/>
          <w:sz w:val="20"/>
        </w:rPr>
        <w:t>qualified conversions by 22%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testing and bid optimization.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</w:t>
      </w:r>
      <w:r>
        <w:rPr>
          <w:rFonts w:ascii="Calibri" w:hAnsi="Calibri"/>
          <w:b/>
          <w:i w:val="0"/>
          <w:color w:val="333333"/>
          <w:sz w:val="20"/>
        </w:rPr>
        <w:t>marketing attribution visibility by 25%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GA4 and Salesforce-powered executive dashboards.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Built standardized performance reporting frameworks spanning campaign, media, and pipeline data.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Increased </w:t>
      </w:r>
      <w:r>
        <w:rPr>
          <w:rFonts w:ascii="Calibri" w:hAnsi="Calibri"/>
          <w:b/>
          <w:i w:val="0"/>
          <w:color w:val="333333"/>
          <w:sz w:val="20"/>
        </w:rPr>
        <w:t>qualified pipeline by 25%</w:t>
      </w:r>
      <w:r>
        <w:rPr>
          <w:rFonts w:ascii="Calibri" w:hAnsi="Calibri"/>
          <w:b w:val="0"/>
          <w:i w:val="0"/>
          <w:color w:val="333333"/>
          <w:sz w:val="20"/>
        </w:rPr>
        <w:t>, translating marketing performance into measurable revenue contribution.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Reduced manual performance reporting effort by </w:t>
      </w:r>
      <w:r>
        <w:rPr>
          <w:rFonts w:ascii="Calibri" w:hAnsi="Calibri"/>
          <w:b/>
          <w:i w:val="0"/>
          <w:color w:val="333333"/>
          <w:sz w:val="20"/>
        </w:rPr>
        <w:t>30+ hours per week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AI-enabled analytics automation.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LEADERSHIP EXPERIENCE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CIVICA UK Ltd</w:t>
      </w:r>
      <w:r>
        <w:rPr>
          <w:rFonts w:ascii="Calibri" w:hAnsi="Calibri"/>
          <w:b w:val="0"/>
          <w:i/>
          <w:color w:val="555555"/>
          <w:sz w:val="20"/>
        </w:rPr>
        <w:t xml:space="preserve">  |  GLOBAL MARKETING AUTOMATION &amp; ABM STRATEGY</w:t>
      </w:r>
      <w:r>
        <w:rPr>
          <w:rFonts w:ascii="Calibri" w:hAnsi="Calibri"/>
          <w:b w:val="0"/>
          <w:i/>
          <w:color w:val="555555"/>
          <w:sz w:val="18"/>
        </w:rPr>
        <w:tab/>
        <w:t>Aug 2026 – Present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Own programmatic and display advertising</w:t>
      </w:r>
      <w:r>
        <w:rPr>
          <w:rFonts w:ascii="Calibri" w:hAnsi="Calibri"/>
          <w:b w:val="0"/>
          <w:i w:val="0"/>
          <w:color w:val="333333"/>
          <w:sz w:val="20"/>
        </w:rPr>
        <w:t xml:space="preserve"> across Americas, Europe, and APJC, translating campaign performance into pipeline recommendations for marketing and sales leadership.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Drive marketing automation via Salesforce Marketing Cloud</w:t>
      </w:r>
      <w:r>
        <w:rPr>
          <w:rFonts w:ascii="Calibri" w:hAnsi="Calibri"/>
          <w:b w:val="0"/>
          <w:i w:val="0"/>
          <w:color w:val="333333"/>
          <w:sz w:val="20"/>
        </w:rPr>
        <w:t xml:space="preserve">, activating </w:t>
      </w:r>
      <w:r>
        <w:rPr>
          <w:rFonts w:ascii="Calibri" w:hAnsi="Calibri"/>
          <w:b/>
          <w:i w:val="0"/>
          <w:color w:val="333333"/>
          <w:sz w:val="20"/>
        </w:rPr>
        <w:t>1:1, 1:Few, and 1:Many</w:t>
      </w:r>
      <w:r>
        <w:rPr>
          <w:rFonts w:ascii="Calibri" w:hAnsi="Calibri"/>
          <w:b w:val="0"/>
          <w:i w:val="0"/>
          <w:color w:val="333333"/>
          <w:sz w:val="20"/>
        </w:rPr>
        <w:t xml:space="preserve"> account tiers to lift conversions </w:t>
      </w:r>
      <w:r>
        <w:rPr>
          <w:rFonts w:ascii="Calibri" w:hAnsi="Calibri"/>
          <w:b/>
          <w:i w:val="0"/>
          <w:color w:val="333333"/>
          <w:sz w:val="20"/>
        </w:rPr>
        <w:t>20%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Boost marketing pipeline performance through AI-powered lifecycle journeys</w:t>
      </w:r>
      <w:r>
        <w:rPr>
          <w:rFonts w:ascii="Calibri" w:hAnsi="Calibri"/>
          <w:b w:val="0"/>
          <w:i w:val="0"/>
          <w:color w:val="333333"/>
          <w:sz w:val="20"/>
        </w:rPr>
        <w:t xml:space="preserve">, with focused scaling across </w:t>
      </w:r>
      <w:r>
        <w:rPr>
          <w:rFonts w:ascii="Calibri" w:hAnsi="Calibri"/>
          <w:b/>
          <w:i w:val="0"/>
          <w:color w:val="333333"/>
          <w:sz w:val="20"/>
        </w:rPr>
        <w:t>North America and APAC</w:t>
      </w:r>
      <w:r>
        <w:rPr>
          <w:rFonts w:ascii="Calibri" w:hAnsi="Calibri"/>
          <w:b w:val="0"/>
          <w:i w:val="0"/>
          <w:color w:val="333333"/>
          <w:sz w:val="20"/>
        </w:rPr>
        <w:t>, aligned with sales sprint motions.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Keysight Technologies Ltd</w:t>
      </w:r>
      <w:r>
        <w:rPr>
          <w:rFonts w:ascii="Calibri" w:hAnsi="Calibri"/>
          <w:b w:val="0"/>
          <w:i/>
          <w:color w:val="555555"/>
          <w:sz w:val="20"/>
        </w:rPr>
        <w:t xml:space="preserve">  |  GLOBAL DIGITAL MARKETING (Americas, Europe &amp; APJC)</w:t>
      </w:r>
      <w:r>
        <w:rPr>
          <w:rFonts w:ascii="Calibri" w:hAnsi="Calibri"/>
          <w:b w:val="0"/>
          <w:i/>
          <w:color w:val="555555"/>
          <w:sz w:val="18"/>
        </w:rPr>
        <w:tab/>
        <w:t>Jul 2024 – Mar 2026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Owned </w:t>
      </w:r>
      <w:r>
        <w:rPr>
          <w:rFonts w:ascii="Calibri" w:hAnsi="Calibri"/>
          <w:b/>
          <w:i w:val="0"/>
          <w:color w:val="333333"/>
          <w:sz w:val="20"/>
        </w:rPr>
        <w:t>performance marketing strategy</w:t>
      </w:r>
      <w:r>
        <w:rPr>
          <w:rFonts w:ascii="Calibri" w:hAnsi="Calibri"/>
          <w:b w:val="0"/>
          <w:i w:val="0"/>
          <w:color w:val="333333"/>
          <w:sz w:val="20"/>
        </w:rPr>
        <w:t xml:space="preserve"> across India and the broader APJC region, aligning media and campaign investment with ROI targets.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Led conversion optimization and testing programs across paid and digital channels.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Drove marketing analytics, attribution, and executive dashboard development.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qualified conversions by </w:t>
      </w:r>
      <w:r>
        <w:rPr>
          <w:rFonts w:ascii="Calibri" w:hAnsi="Calibri"/>
          <w:b/>
          <w:i w:val="0"/>
          <w:color w:val="333333"/>
          <w:sz w:val="20"/>
        </w:rPr>
        <w:t>22%</w:t>
      </w:r>
      <w:r>
        <w:rPr>
          <w:rFonts w:ascii="Calibri" w:hAnsi="Calibri"/>
          <w:b w:val="0"/>
          <w:i w:val="0"/>
          <w:color w:val="333333"/>
          <w:sz w:val="20"/>
        </w:rPr>
        <w:t xml:space="preserve"> while reducing CPA by </w:t>
      </w:r>
      <w:r>
        <w:rPr>
          <w:rFonts w:ascii="Calibri" w:hAnsi="Calibri"/>
          <w:b/>
          <w:i w:val="0"/>
          <w:color w:val="333333"/>
          <w:sz w:val="20"/>
        </w:rPr>
        <w:t>17%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experimentation and audience optimization.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Partnered with Sales and Finance to translate marketing performance into pipeline and revenue impact.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Drove AI adoption across performance marketing analytics and reporting workflows.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Cisco Systems Ltd</w:t>
      </w:r>
      <w:r>
        <w:rPr>
          <w:rFonts w:ascii="Calibri" w:hAnsi="Calibri"/>
          <w:b w:val="0"/>
          <w:i/>
          <w:color w:val="555555"/>
          <w:sz w:val="20"/>
        </w:rPr>
        <w:t xml:space="preserve">  |  REGIONAL DIGITAL MARKETING – PAID MEDIA, ABM &amp; DEMAND GEN</w:t>
      </w:r>
      <w:r>
        <w:rPr>
          <w:rFonts w:ascii="Calibri" w:hAnsi="Calibri"/>
          <w:b w:val="0"/>
          <w:i/>
          <w:color w:val="555555"/>
          <w:sz w:val="18"/>
        </w:rPr>
        <w:tab/>
        <w:t>Feb 2011 – Apr 2024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Led performance marketing and media optimization across </w:t>
      </w:r>
      <w:r>
        <w:rPr>
          <w:rFonts w:ascii="Calibri" w:hAnsi="Calibri"/>
          <w:b/>
          <w:i w:val="0"/>
          <w:color w:val="333333"/>
          <w:sz w:val="20"/>
        </w:rPr>
        <w:t>14+ APJC markets</w:t>
      </w:r>
      <w:r>
        <w:rPr>
          <w:rFonts w:ascii="Calibri" w:hAnsi="Calibri"/>
          <w:b w:val="0"/>
          <w:i w:val="0"/>
          <w:color w:val="333333"/>
          <w:sz w:val="20"/>
        </w:rPr>
        <w:t xml:space="preserve">, spanning search, social, programmatic, video, and mobile — including growing Cisco India's social media presence to </w:t>
      </w:r>
      <w:r>
        <w:rPr>
          <w:rFonts w:ascii="Calibri" w:hAnsi="Calibri"/>
          <w:b/>
          <w:i w:val="0"/>
          <w:color w:val="333333"/>
          <w:sz w:val="20"/>
        </w:rPr>
        <w:t>100,000+ organic followers within 12 months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Managed </w:t>
      </w:r>
      <w:r>
        <w:rPr>
          <w:rFonts w:ascii="Calibri" w:hAnsi="Calibri"/>
          <w:b/>
          <w:i w:val="0"/>
          <w:color w:val="333333"/>
          <w:sz w:val="20"/>
        </w:rPr>
        <w:t>$4M+ annual marketing investment</w:t>
      </w:r>
      <w:r>
        <w:rPr>
          <w:rFonts w:ascii="Calibri" w:hAnsi="Calibri"/>
          <w:b w:val="0"/>
          <w:i w:val="0"/>
          <w:color w:val="333333"/>
          <w:sz w:val="20"/>
        </w:rPr>
        <w:t xml:space="preserve">, delivering </w:t>
      </w:r>
      <w:r>
        <w:rPr>
          <w:rFonts w:ascii="Calibri" w:hAnsi="Calibri"/>
          <w:b/>
          <w:i w:val="0"/>
          <w:color w:val="333333"/>
          <w:sz w:val="20"/>
        </w:rPr>
        <w:t>15x ROMI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disciplined performance governance.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Reduced CPA/CAC by </w:t>
      </w:r>
      <w:r>
        <w:rPr>
          <w:rFonts w:ascii="Calibri" w:hAnsi="Calibri"/>
          <w:b/>
          <w:i w:val="0"/>
          <w:color w:val="333333"/>
          <w:sz w:val="20"/>
        </w:rPr>
        <w:t>15–17%</w:t>
      </w:r>
      <w:r>
        <w:rPr>
          <w:rFonts w:ascii="Calibri" w:hAnsi="Calibri"/>
          <w:b w:val="0"/>
          <w:i w:val="0"/>
          <w:color w:val="333333"/>
          <w:sz w:val="20"/>
        </w:rPr>
        <w:t xml:space="preserve"> while improving qualified conversions by </w:t>
      </w:r>
      <w:r>
        <w:rPr>
          <w:rFonts w:ascii="Calibri" w:hAnsi="Calibri"/>
          <w:b/>
          <w:i w:val="0"/>
          <w:color w:val="333333"/>
          <w:sz w:val="20"/>
        </w:rPr>
        <w:t>22%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testing, targeting, and bid optimization.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Modernized marketing measurement through GA4 and Salesforce integration, improving attribution visibility by </w:t>
      </w:r>
      <w:r>
        <w:rPr>
          <w:rFonts w:ascii="Calibri" w:hAnsi="Calibri"/>
          <w:b/>
          <w:i w:val="0"/>
          <w:color w:val="333333"/>
          <w:sz w:val="20"/>
        </w:rPr>
        <w:t>25%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Built executive dashboards standardizing performance reporting across campaign, media, and pipeline data.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Led and developed a team of </w:t>
      </w:r>
      <w:r>
        <w:rPr>
          <w:rFonts w:ascii="Calibri" w:hAnsi="Calibri"/>
          <w:b/>
          <w:i w:val="0"/>
          <w:color w:val="333333"/>
          <w:sz w:val="20"/>
        </w:rPr>
        <w:t>5 marketing professionals</w:t>
      </w:r>
      <w:r>
        <w:rPr>
          <w:rFonts w:ascii="Calibri" w:hAnsi="Calibri"/>
          <w:b w:val="0"/>
          <w:i w:val="0"/>
          <w:color w:val="333333"/>
          <w:sz w:val="20"/>
        </w:rPr>
        <w:t>; ran the Cisco Interaction Network webinar series, engaging 1,000 IT decision-makers and influencers monthly for 5 years.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Generated </w:t>
      </w:r>
      <w:r>
        <w:rPr>
          <w:rFonts w:ascii="Calibri" w:hAnsi="Calibri"/>
          <w:b/>
          <w:i w:val="0"/>
          <w:color w:val="333333"/>
          <w:sz w:val="20"/>
        </w:rPr>
        <w:t>400 qualified leads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</w:t>
      </w:r>
      <w:r>
        <w:rPr>
          <w:rFonts w:ascii="Calibri" w:hAnsi="Calibri"/>
          <w:b/>
          <w:i w:val="0"/>
          <w:color w:val="333333"/>
          <w:sz w:val="20"/>
        </w:rPr>
        <w:t>$4M+ in pipeline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a demand generation campaign with Ingram Micro.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PROJECTS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/>
          <w:i w:val="0"/>
          <w:color w:val="333333"/>
          <w:sz w:val="20"/>
        </w:rPr>
        <w:t xml:space="preserve">Marketing Measurement Framework: </w:t>
      </w:r>
      <w:r>
        <w:rPr>
          <w:rFonts w:ascii="Calibri" w:hAnsi="Calibri"/>
          <w:b w:val="0"/>
          <w:i w:val="0"/>
          <w:color w:val="333333"/>
          <w:sz w:val="20"/>
        </w:rPr>
        <w:t xml:space="preserve">Built standardized executive dashboards spanning campaign, media, website, and pipeline reporting, improving </w:t>
      </w:r>
      <w:r>
        <w:rPr>
          <w:rFonts w:ascii="Calibri" w:hAnsi="Calibri"/>
          <w:b/>
          <w:i w:val="0"/>
          <w:color w:val="333333"/>
          <w:sz w:val="20"/>
        </w:rPr>
        <w:t>attribution visibility by 25%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/>
          <w:i w:val="0"/>
          <w:color w:val="333333"/>
          <w:sz w:val="20"/>
        </w:rPr>
        <w:t xml:space="preserve">Media Portfolio Optimization: </w:t>
      </w:r>
      <w:r>
        <w:rPr>
          <w:rFonts w:ascii="Calibri" w:hAnsi="Calibri"/>
          <w:b w:val="0"/>
          <w:i w:val="0"/>
          <w:color w:val="333333"/>
          <w:sz w:val="20"/>
        </w:rPr>
        <w:t xml:space="preserve">Delivered </w:t>
      </w:r>
      <w:r>
        <w:rPr>
          <w:rFonts w:ascii="Calibri" w:hAnsi="Calibri"/>
          <w:b/>
          <w:i w:val="0"/>
          <w:color w:val="333333"/>
          <w:sz w:val="20"/>
        </w:rPr>
        <w:t>15x ROMI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reduced </w:t>
      </w:r>
      <w:r>
        <w:rPr>
          <w:rFonts w:ascii="Calibri" w:hAnsi="Calibri"/>
          <w:b/>
          <w:i w:val="0"/>
          <w:color w:val="333333"/>
          <w:sz w:val="20"/>
        </w:rPr>
        <w:t>CPA/CAC by 15–17%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performance-led governance across a $4M+ media portfolio.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/>
          <w:i w:val="0"/>
          <w:color w:val="333333"/>
          <w:sz w:val="20"/>
        </w:rPr>
        <w:t xml:space="preserve">B2B Ecommerce: </w:t>
      </w:r>
      <w:r>
        <w:rPr>
          <w:rFonts w:ascii="Calibri" w:hAnsi="Calibri"/>
          <w:b w:val="0"/>
          <w:i w:val="0"/>
          <w:color w:val="333333"/>
          <w:sz w:val="20"/>
        </w:rPr>
        <w:t xml:space="preserve">Led performance-driven acquisition strategy for a Webex freemium marketplace program with Compuage, generating </w:t>
      </w:r>
      <w:r>
        <w:rPr>
          <w:rFonts w:ascii="Calibri" w:hAnsi="Calibri"/>
          <w:b/>
          <w:i w:val="0"/>
          <w:color w:val="333333"/>
          <w:sz w:val="20"/>
        </w:rPr>
        <w:t>$1M in incremental revenue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acquiring </w:t>
      </w:r>
      <w:r>
        <w:rPr>
          <w:rFonts w:ascii="Calibri" w:hAnsi="Calibri"/>
          <w:b/>
          <w:i w:val="0"/>
          <w:color w:val="333333"/>
          <w:sz w:val="20"/>
        </w:rPr>
        <w:t>6,000+ new users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/>
          <w:i w:val="0"/>
          <w:color w:val="333333"/>
          <w:sz w:val="20"/>
        </w:rPr>
        <w:t xml:space="preserve">Partner Marketplace Program: </w:t>
      </w:r>
      <w:r>
        <w:rPr>
          <w:rFonts w:ascii="Calibri" w:hAnsi="Calibri"/>
          <w:b w:val="0"/>
          <w:i w:val="0"/>
          <w:color w:val="333333"/>
          <w:sz w:val="20"/>
        </w:rPr>
        <w:t xml:space="preserve">Executed a B2B marketplace program with Redington, generating </w:t>
      </w:r>
      <w:r>
        <w:rPr>
          <w:rFonts w:ascii="Calibri" w:hAnsi="Calibri"/>
          <w:b/>
          <w:i w:val="0"/>
          <w:color w:val="333333"/>
          <w:sz w:val="20"/>
        </w:rPr>
        <w:t>$120K in new bookings</w:t>
      </w:r>
      <w:r>
        <w:rPr>
          <w:rFonts w:ascii="Calibri" w:hAnsi="Calibri"/>
          <w:b w:val="0"/>
          <w:i w:val="0"/>
          <w:color w:val="333333"/>
          <w:sz w:val="20"/>
        </w:rPr>
        <w:t xml:space="preserve"> within 12 months.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EARLIER EXPERIENCE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Network18 Media Ltd</w:t>
      </w:r>
      <w:r>
        <w:rPr>
          <w:rFonts w:ascii="Calibri" w:hAnsi="Calibri"/>
          <w:b w:val="0"/>
          <w:i/>
          <w:color w:val="555555"/>
          <w:sz w:val="20"/>
        </w:rPr>
        <w:t xml:space="preserve">  |  INTEGRATED MARKETING &amp; STRATEGIC INITIATIVES</w:t>
      </w:r>
      <w:r>
        <w:rPr>
          <w:rFonts w:ascii="Calibri" w:hAnsi="Calibri"/>
          <w:b w:val="0"/>
          <w:i/>
          <w:color w:val="555555"/>
          <w:sz w:val="18"/>
        </w:rPr>
        <w:tab/>
        <w:t>2009 – 2011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Executed integrated Display, Print, TV, and Event campaigns reaching </w:t>
      </w:r>
      <w:r>
        <w:rPr>
          <w:rFonts w:ascii="Calibri" w:hAnsi="Calibri"/>
          <w:b/>
          <w:i w:val="0"/>
          <w:color w:val="333333"/>
          <w:sz w:val="20"/>
        </w:rPr>
        <w:t>20M consumers</w:t>
      </w:r>
      <w:r>
        <w:rPr>
          <w:rFonts w:ascii="Calibri" w:hAnsi="Calibri"/>
          <w:b w:val="0"/>
          <w:i w:val="0"/>
          <w:color w:val="333333"/>
          <w:sz w:val="20"/>
        </w:rPr>
        <w:t>, driving audience growth.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Delivered a </w:t>
      </w:r>
      <w:r>
        <w:rPr>
          <w:rFonts w:ascii="Calibri" w:hAnsi="Calibri"/>
          <w:b/>
          <w:i w:val="0"/>
          <w:color w:val="333333"/>
          <w:sz w:val="20"/>
        </w:rPr>
        <w:t>15% increase in conversions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campaign management and consumer engagement supporting digital adoption.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Bennett Coleman &amp; Co Ltd (Times of India)</w:t>
      </w:r>
      <w:r>
        <w:rPr>
          <w:rFonts w:ascii="Calibri" w:hAnsi="Calibri"/>
          <w:b w:val="0"/>
          <w:i/>
          <w:color w:val="555555"/>
          <w:sz w:val="20"/>
        </w:rPr>
        <w:t xml:space="preserve">  |  MEDIA MARKETING &amp; ADVERTISEMENTS</w:t>
      </w:r>
      <w:r>
        <w:rPr>
          <w:rFonts w:ascii="Calibri" w:hAnsi="Calibri"/>
          <w:b w:val="0"/>
          <w:i/>
          <w:color w:val="555555"/>
          <w:sz w:val="18"/>
        </w:rPr>
        <w:tab/>
        <w:t>2003 – 2008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Expanded advertiser reach by </w:t>
      </w:r>
      <w:r>
        <w:rPr>
          <w:rFonts w:ascii="Calibri" w:hAnsi="Calibri"/>
          <w:b/>
          <w:i w:val="0"/>
          <w:color w:val="333333"/>
          <w:sz w:val="20"/>
        </w:rPr>
        <w:t>30%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cross-media campaign management across Print, Radio, Outdoor, TV, Digital, and Events.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campaign efficiency by </w:t>
      </w:r>
      <w:r>
        <w:rPr>
          <w:rFonts w:ascii="Calibri" w:hAnsi="Calibri"/>
          <w:b/>
          <w:i w:val="0"/>
          <w:color w:val="333333"/>
          <w:sz w:val="20"/>
        </w:rPr>
        <w:t>20%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coordinated campaign reporting and stakeholder communication.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TECHNOLOGY PROFICIENCY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Marketing Analytics &amp; BI: </w:t>
      </w:r>
      <w:r>
        <w:rPr>
          <w:rFonts w:ascii="Calibri" w:hAnsi="Calibri"/>
          <w:b w:val="0"/>
          <w:i w:val="0"/>
          <w:color w:val="333333"/>
          <w:sz w:val="20"/>
        </w:rPr>
        <w:t>Google Analytics 4 (GA4) | Adobe Analytics | Tableau | Domo | Looker Studio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Paid &amp; Programmatic: </w:t>
      </w:r>
      <w:r>
        <w:rPr>
          <w:rFonts w:ascii="Calibri" w:hAnsi="Calibri"/>
          <w:b w:val="0"/>
          <w:i w:val="0"/>
          <w:color w:val="333333"/>
          <w:sz w:val="20"/>
        </w:rPr>
        <w:t>Google Ads | Meta Ads | LinkedIn Campaign Manager | DV360 | Campaign Manager 360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CRM &amp; Marketing Automation: </w:t>
      </w:r>
      <w:r>
        <w:rPr>
          <w:rFonts w:ascii="Calibri" w:hAnsi="Calibri"/>
          <w:b w:val="0"/>
          <w:i w:val="0"/>
          <w:color w:val="333333"/>
          <w:sz w:val="20"/>
        </w:rPr>
        <w:t>Salesforce CRM | Salesforce Marketing Cloud | Oracle Eloqua | Marketo Engage | HubSpot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Website &amp; AI: </w:t>
      </w:r>
      <w:r>
        <w:rPr>
          <w:rFonts w:ascii="Calibri" w:hAnsi="Calibri"/>
          <w:b w:val="0"/>
          <w:i w:val="0"/>
          <w:color w:val="333333"/>
          <w:sz w:val="20"/>
        </w:rPr>
        <w:t>Adobe Experience Manager (AEM) | Cisco WEM | ChatGPT | Claude | n8n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CERTIFICATIONS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Artificial Intelligence Applications for Business Leaders</w:t>
      </w:r>
    </w:p>
    <w:p>
      <w:pPr>
        <w:spacing w:before="0" w:after="120" w:line="240" w:lineRule="auto"/>
      </w:pPr>
      <w:r>
        <w:rPr>
          <w:rFonts w:ascii="Calibri" w:hAnsi="Calibri"/>
          <w:b w:val="0"/>
          <w:i/>
          <w:color w:val="555555"/>
          <w:sz w:val="20"/>
        </w:rPr>
        <w:t>Outskill | Apr 2026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Google Marketing Platform Certification</w:t>
      </w:r>
    </w:p>
    <w:p>
      <w:pPr>
        <w:spacing w:before="0" w:after="120" w:line="240" w:lineRule="auto"/>
      </w:pPr>
      <w:r>
        <w:rPr>
          <w:rFonts w:ascii="Calibri" w:hAnsi="Calibri"/>
          <w:b w:val="0"/>
          <w:i/>
          <w:color w:val="555555"/>
          <w:sz w:val="20"/>
        </w:rPr>
        <w:t>Google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EDUCATION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Masters in Business Administration (MBA) – Marketing &amp; Finance</w:t>
      </w:r>
    </w:p>
    <w:p>
      <w:pPr>
        <w:spacing w:before="0" w:after="0" w:line="240" w:lineRule="auto"/>
      </w:pPr>
      <w:r>
        <w:rPr>
          <w:rFonts w:ascii="Calibri" w:hAnsi="Calibri"/>
          <w:b w:val="0"/>
          <w:i/>
          <w:color w:val="555555"/>
          <w:sz w:val="20"/>
        </w:rPr>
        <w:t>Army College of Materials Management, Jabalpur, India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GAGAN GARG</dc:creator>
  <cp:keywords/>
  <cp:lastModifiedBy/>
  <cp:revision>1</cp:revision>
  <dcterms:created xsi:type="dcterms:W3CDTF">2013-12-23T23:15:00Z</dcterms:created>
  <dcterms:modified xsi:type="dcterms:W3CDTF">2013-12-23T23:15:00Z</dcterms:modified>
  <cp:category/>
</cp:coreProperties>
</file>