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3864"/>
          <w:sz w:val="38"/>
        </w:rPr>
        <w:t>GAGAN DEEP GARG</w:t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555555"/>
          <w:sz w:val="23"/>
        </w:rPr>
        <w:t>Enterprise Digital Marketing &amp; Growth Portfolio</w:t>
      </w:r>
    </w:p>
    <w:p>
      <w:pPr>
        <w:spacing w:before="0" w:after="140" w:line="240" w:lineRule="auto"/>
        <w:jc w:val="center"/>
      </w:pPr>
      <w:r>
        <w:rPr>
          <w:rFonts w:ascii="Calibri" w:hAnsi="Calibri"/>
          <w:b w:val="0"/>
          <w:i/>
          <w:color w:val="555555"/>
          <w:sz w:val="18"/>
        </w:rPr>
        <w:t>Digital Marketing Leader | Growth | Demand Generation | GTM | Integrated Marketing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fill="EDF1F7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20 YEARS</w:t>
            </w:r>
          </w:p>
        </w:tc>
        <w:tc>
          <w:tcPr>
            <w:tcW w:type="dxa" w:w="2628"/>
            <w:shd w:val="clear" w:fill="EDF1F7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$4M+ MANAGED</w:t>
            </w:r>
          </w:p>
        </w:tc>
        <w:tc>
          <w:tcPr>
            <w:tcW w:type="dxa" w:w="2628"/>
            <w:shd w:val="clear" w:fill="EDF1F7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15X ROMI</w:t>
            </w:r>
          </w:p>
        </w:tc>
        <w:tc>
          <w:tcPr>
            <w:tcW w:type="dxa" w:w="2628"/>
            <w:shd w:val="clear" w:fill="EDF1F7"/>
          </w:tcPr>
          <w:p>
            <w:pPr>
              <w:spacing w:before="80" w:after="8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25% PIPELINE GROWTH</w:t>
            </w:r>
          </w:p>
        </w:tc>
      </w:tr>
    </w:tbl>
    <w:p>
      <w:pPr>
        <w:spacing w:before="0" w:after="40" w:line="240" w:lineRule="auto"/>
      </w:pPr>
    </w:p>
    <w:p>
      <w:pPr>
        <w:spacing w:before="16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PROJECTS</w:t>
      </w:r>
    </w:p>
    <w:p>
      <w:pPr>
        <w:spacing w:before="40" w:after="20" w:line="240" w:lineRule="auto"/>
      </w:pPr>
      <w:r>
        <w:rPr>
          <w:rFonts w:ascii="Calibri" w:hAnsi="Calibri"/>
          <w:b/>
          <w:i w:val="0"/>
          <w:color w:val="1F3864"/>
          <w:sz w:val="21"/>
        </w:rPr>
        <w:t>Full-Funnel Attribution &amp; Budget Allocation Model</w:t>
      </w:r>
      <w:r>
        <w:rPr>
          <w:rFonts w:ascii="Calibri" w:hAnsi="Calibri"/>
          <w:b w:val="0"/>
          <w:i/>
          <w:color w:val="555555"/>
          <w:sz w:val="18"/>
        </w:rPr>
        <w:t xml:space="preserve">  |  Keysight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Challenge: </w:t>
      </w:r>
      <w:r>
        <w:rPr>
          <w:rFonts w:ascii="Calibri" w:hAnsi="Calibri"/>
          <w:b w:val="0"/>
          <w:i w:val="0"/>
          <w:color w:val="333333"/>
          <w:sz w:val="20"/>
        </w:rPr>
        <w:t xml:space="preserve">Fragmented regional strategies and inefficient cross-channel budget allocation across a </w:t>
      </w:r>
      <w:r>
        <w:rPr>
          <w:rFonts w:ascii="Calibri" w:hAnsi="Calibri"/>
          <w:b/>
          <w:i w:val="0"/>
          <w:color w:val="333333"/>
          <w:sz w:val="20"/>
        </w:rPr>
        <w:t>$3M+</w:t>
      </w:r>
      <w:r>
        <w:rPr>
          <w:rFonts w:ascii="Calibri" w:hAnsi="Calibri"/>
          <w:b w:val="0"/>
          <w:i w:val="0"/>
          <w:color w:val="333333"/>
          <w:sz w:val="20"/>
        </w:rPr>
        <w:t xml:space="preserve"> portfolio.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Action: </w:t>
      </w:r>
      <w:r>
        <w:rPr>
          <w:rFonts w:ascii="Calibri" w:hAnsi="Calibri"/>
          <w:b w:val="0"/>
          <w:i w:val="0"/>
          <w:color w:val="333333"/>
          <w:sz w:val="20"/>
        </w:rPr>
        <w:t>Rebuilt attribution using GA4 and intent data, restructuring Search, Programmatic, and Social investment.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Outcome: </w:t>
      </w:r>
      <w:r>
        <w:rPr>
          <w:rFonts w:ascii="Calibri" w:hAnsi="Calibri"/>
          <w:b w:val="0"/>
          <w:i w:val="0"/>
          <w:color w:val="333333"/>
          <w:sz w:val="20"/>
        </w:rPr>
        <w:t xml:space="preserve">Improved conversions </w:t>
      </w:r>
      <w:r>
        <w:rPr>
          <w:rFonts w:ascii="Calibri" w:hAnsi="Calibri"/>
          <w:b/>
          <w:i w:val="0"/>
          <w:color w:val="333333"/>
          <w:sz w:val="20"/>
        </w:rPr>
        <w:t>22%</w:t>
      </w:r>
      <w:r>
        <w:rPr>
          <w:rFonts w:ascii="Calibri" w:hAnsi="Calibri"/>
          <w:b w:val="0"/>
          <w:i w:val="0"/>
          <w:color w:val="333333"/>
          <w:sz w:val="20"/>
        </w:rPr>
        <w:t xml:space="preserve">, cut CPA </w:t>
      </w:r>
      <w:r>
        <w:rPr>
          <w:rFonts w:ascii="Calibri" w:hAnsi="Calibri"/>
          <w:b/>
          <w:i w:val="0"/>
          <w:color w:val="333333"/>
          <w:sz w:val="20"/>
        </w:rPr>
        <w:t>17%</w:t>
      </w:r>
      <w:r>
        <w:rPr>
          <w:rFonts w:ascii="Calibri" w:hAnsi="Calibri"/>
          <w:b w:val="0"/>
          <w:i w:val="0"/>
          <w:color w:val="333333"/>
          <w:sz w:val="20"/>
        </w:rPr>
        <w:t xml:space="preserve">, lifted ROMI up to </w:t>
      </w:r>
      <w:r>
        <w:rPr>
          <w:rFonts w:ascii="Calibri" w:hAnsi="Calibri"/>
          <w:b/>
          <w:i w:val="0"/>
          <w:color w:val="333333"/>
          <w:sz w:val="20"/>
        </w:rPr>
        <w:t>20%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grew pipeline contribution </w:t>
      </w:r>
      <w:r>
        <w:rPr>
          <w:rFonts w:ascii="Calibri" w:hAnsi="Calibri"/>
          <w:b/>
          <w:i w:val="0"/>
          <w:color w:val="333333"/>
          <w:sz w:val="20"/>
        </w:rPr>
        <w:t>15%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20" w:after="120" w:line="240" w:lineRule="auto"/>
      </w:pPr>
      <w:r>
        <w:rPr>
          <w:rFonts w:ascii="Calibri" w:hAnsi="Calibri"/>
          <w:b/>
          <w:i/>
          <w:color w:val="1F3864"/>
          <w:sz w:val="18"/>
        </w:rPr>
        <w:t xml:space="preserve">Skills: </w:t>
      </w:r>
      <w:r>
        <w:rPr>
          <w:rFonts w:ascii="Calibri" w:hAnsi="Calibri"/>
          <w:b w:val="0"/>
          <w:i/>
          <w:color w:val="555555"/>
          <w:sz w:val="18"/>
        </w:rPr>
        <w:t>Full-Funnel Optimization, Attribution, Analytics Modernization, Budget Governance</w:t>
      </w:r>
    </w:p>
    <w:p>
      <w:pPr>
        <w:spacing w:before="0" w:after="120" w:line="240" w:lineRule="auto"/>
        <w:pBdr>
          <w:bottom w:val="single" w:sz="4" w:space="3" w:color="CCCCCC"/>
        </w:pBdr>
      </w:pPr>
    </w:p>
    <w:p>
      <w:pPr>
        <w:spacing w:before="140" w:after="20" w:line="240" w:lineRule="auto"/>
      </w:pPr>
      <w:r>
        <w:rPr>
          <w:rFonts w:ascii="Calibri" w:hAnsi="Calibri"/>
          <w:b/>
          <w:i w:val="0"/>
          <w:color w:val="1F3864"/>
          <w:sz w:val="21"/>
        </w:rPr>
        <w:t>Regional Paid Media Rebuild (APJC)</w:t>
      </w:r>
      <w:r>
        <w:rPr>
          <w:rFonts w:ascii="Calibri" w:hAnsi="Calibri"/>
          <w:b w:val="0"/>
          <w:i/>
          <w:color w:val="555555"/>
          <w:sz w:val="18"/>
        </w:rPr>
        <w:t xml:space="preserve">  |  Cisco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Challenge: </w:t>
      </w:r>
      <w:r>
        <w:rPr>
          <w:rFonts w:ascii="Calibri" w:hAnsi="Calibri"/>
          <w:b w:val="0"/>
          <w:i w:val="0"/>
          <w:color w:val="333333"/>
          <w:sz w:val="20"/>
        </w:rPr>
        <w:t>Inconsistent performance and high CPA across networking, collaboration, and SaaS portfolios in APJC.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Action: </w:t>
      </w:r>
      <w:r>
        <w:rPr>
          <w:rFonts w:ascii="Calibri" w:hAnsi="Calibri"/>
          <w:b w:val="0"/>
          <w:i w:val="0"/>
          <w:color w:val="333333"/>
          <w:sz w:val="20"/>
        </w:rPr>
        <w:t xml:space="preserve">Deployed mobile-first acquisition programs and optimized </w:t>
      </w:r>
      <w:r>
        <w:rPr>
          <w:rFonts w:ascii="Calibri" w:hAnsi="Calibri"/>
          <w:b/>
          <w:i w:val="0"/>
          <w:color w:val="333333"/>
          <w:sz w:val="20"/>
        </w:rPr>
        <w:t>$4M+</w:t>
      </w:r>
      <w:r>
        <w:rPr>
          <w:rFonts w:ascii="Calibri" w:hAnsi="Calibri"/>
          <w:b w:val="0"/>
          <w:i w:val="0"/>
          <w:color w:val="333333"/>
          <w:sz w:val="20"/>
        </w:rPr>
        <w:t xml:space="preserve"> annual investment across Search, Social, and Programmatic.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Outcome: </w:t>
      </w:r>
      <w:r>
        <w:rPr>
          <w:rFonts w:ascii="Calibri" w:hAnsi="Calibri"/>
          <w:b w:val="0"/>
          <w:i w:val="0"/>
          <w:color w:val="333333"/>
          <w:sz w:val="20"/>
        </w:rPr>
        <w:t xml:space="preserve">Grew qualified pipeline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 xml:space="preserve">, cut CPA </w:t>
      </w:r>
      <w:r>
        <w:rPr>
          <w:rFonts w:ascii="Calibri" w:hAnsi="Calibri"/>
          <w:b/>
          <w:i w:val="0"/>
          <w:color w:val="333333"/>
          <w:sz w:val="20"/>
        </w:rPr>
        <w:t>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delivered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20" w:after="120" w:line="240" w:lineRule="auto"/>
      </w:pPr>
      <w:r>
        <w:rPr>
          <w:rFonts w:ascii="Calibri" w:hAnsi="Calibri"/>
          <w:b/>
          <w:i/>
          <w:color w:val="1F3864"/>
          <w:sz w:val="18"/>
        </w:rPr>
        <w:t xml:space="preserve">Skills: </w:t>
      </w:r>
      <w:r>
        <w:rPr>
          <w:rFonts w:ascii="Calibri" w:hAnsi="Calibri"/>
          <w:b w:val="0"/>
          <w:i/>
          <w:color w:val="555555"/>
          <w:sz w:val="18"/>
        </w:rPr>
        <w:t>Paid Media, Regional GTM, Mobile-First Acquisition, Budget Optimization</w:t>
      </w:r>
    </w:p>
    <w:p>
      <w:pPr>
        <w:spacing w:before="0" w:after="120" w:line="240" w:lineRule="auto"/>
        <w:pBdr>
          <w:bottom w:val="single" w:sz="4" w:space="3" w:color="CCCCCC"/>
        </w:pBdr>
      </w:pPr>
    </w:p>
    <w:p>
      <w:pPr>
        <w:spacing w:before="140" w:after="20" w:line="240" w:lineRule="auto"/>
      </w:pPr>
      <w:r>
        <w:rPr>
          <w:rFonts w:ascii="Calibri" w:hAnsi="Calibri"/>
          <w:b/>
          <w:i w:val="0"/>
          <w:color w:val="1F3864"/>
          <w:sz w:val="21"/>
        </w:rPr>
        <w:t>Brand-to-Demand ABM Program</w:t>
      </w:r>
      <w:r>
        <w:rPr>
          <w:rFonts w:ascii="Calibri" w:hAnsi="Calibri"/>
          <w:b w:val="0"/>
          <w:i/>
          <w:color w:val="555555"/>
          <w:sz w:val="18"/>
        </w:rPr>
        <w:t xml:space="preserve">  |  Cisco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Challenge: </w:t>
      </w:r>
      <w:r>
        <w:rPr>
          <w:rFonts w:ascii="Calibri" w:hAnsi="Calibri"/>
          <w:b w:val="0"/>
          <w:i w:val="0"/>
          <w:color w:val="333333"/>
          <w:sz w:val="20"/>
        </w:rPr>
        <w:t>Limited brand differentiation and account engagement across APJC's most strategic accounts.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Action: </w:t>
      </w:r>
      <w:r>
        <w:rPr>
          <w:rFonts w:ascii="Calibri" w:hAnsi="Calibri"/>
          <w:b w:val="0"/>
          <w:i w:val="0"/>
          <w:color w:val="333333"/>
          <w:sz w:val="20"/>
        </w:rPr>
        <w:t>Ran ABM-driven content syndication from brand to demand, paired with insight-led video and programmatic brand-lift campaigns.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Outcome: </w:t>
      </w:r>
      <w:r>
        <w:rPr>
          <w:rFonts w:ascii="Calibri" w:hAnsi="Calibri"/>
          <w:b w:val="0"/>
          <w:i w:val="0"/>
          <w:color w:val="333333"/>
          <w:sz w:val="20"/>
        </w:rPr>
        <w:t xml:space="preserve">Grew account penetration to </w:t>
      </w:r>
      <w:r>
        <w:rPr>
          <w:rFonts w:ascii="Calibri" w:hAnsi="Calibri"/>
          <w:b/>
          <w:i w:val="0"/>
          <w:color w:val="333333"/>
          <w:sz w:val="20"/>
        </w:rPr>
        <w:t>40%</w:t>
      </w:r>
      <w:r>
        <w:rPr>
          <w:rFonts w:ascii="Calibri" w:hAnsi="Calibri"/>
          <w:b w:val="0"/>
          <w:i w:val="0"/>
          <w:color w:val="333333"/>
          <w:sz w:val="20"/>
        </w:rPr>
        <w:t xml:space="preserve"> in 6 months, lifted lead-to-opportunity conversion </w:t>
      </w:r>
      <w:r>
        <w:rPr>
          <w:rFonts w:ascii="Calibri" w:hAnsi="Calibri"/>
          <w:b/>
          <w:i w:val="0"/>
          <w:color w:val="333333"/>
          <w:sz w:val="20"/>
        </w:rPr>
        <w:t>20%</w:t>
      </w:r>
      <w:r>
        <w:rPr>
          <w:rFonts w:ascii="Calibri" w:hAnsi="Calibri"/>
          <w:b w:val="0"/>
          <w:i w:val="0"/>
          <w:color w:val="333333"/>
          <w:sz w:val="20"/>
        </w:rPr>
        <w:t xml:space="preserve">, improved brand recall </w:t>
      </w:r>
      <w:r>
        <w:rPr>
          <w:rFonts w:ascii="Calibri" w:hAnsi="Calibri"/>
          <w:b/>
          <w:i w:val="0"/>
          <w:color w:val="333333"/>
          <w:sz w:val="20"/>
        </w:rPr>
        <w:t>9%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lifted brand consideration </w:t>
      </w:r>
      <w:r>
        <w:rPr>
          <w:rFonts w:ascii="Calibri" w:hAnsi="Calibri"/>
          <w:b/>
          <w:i w:val="0"/>
          <w:color w:val="333333"/>
          <w:sz w:val="20"/>
        </w:rPr>
        <w:t>2.5 points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20" w:after="120" w:line="240" w:lineRule="auto"/>
      </w:pPr>
      <w:r>
        <w:rPr>
          <w:rFonts w:ascii="Calibri" w:hAnsi="Calibri"/>
          <w:b/>
          <w:i/>
          <w:color w:val="1F3864"/>
          <w:sz w:val="18"/>
        </w:rPr>
        <w:t xml:space="preserve">Skills: </w:t>
      </w:r>
      <w:r>
        <w:rPr>
          <w:rFonts w:ascii="Calibri" w:hAnsi="Calibri"/>
          <w:b w:val="0"/>
          <w:i/>
          <w:color w:val="555555"/>
          <w:sz w:val="18"/>
        </w:rPr>
        <w:t>ABM, Content Syndication, Brand Strategy, Programmatic Video</w:t>
      </w:r>
    </w:p>
    <w:p>
      <w:pPr>
        <w:spacing w:before="0" w:after="120" w:line="240" w:lineRule="auto"/>
        <w:pBdr>
          <w:bottom w:val="single" w:sz="4" w:space="3" w:color="CCCCCC"/>
        </w:pBdr>
      </w:pPr>
    </w:p>
    <w:p>
      <w:pPr>
        <w:spacing w:before="140" w:after="20" w:line="240" w:lineRule="auto"/>
      </w:pPr>
      <w:r>
        <w:rPr>
          <w:rFonts w:ascii="Calibri" w:hAnsi="Calibri"/>
          <w:b/>
          <w:i w:val="0"/>
          <w:color w:val="1F3864"/>
          <w:sz w:val="21"/>
        </w:rPr>
        <w:t>Webex Freemium Acquisition Program</w:t>
      </w:r>
      <w:r>
        <w:rPr>
          <w:rFonts w:ascii="Calibri" w:hAnsi="Calibri"/>
          <w:b w:val="0"/>
          <w:i/>
          <w:color w:val="555555"/>
          <w:sz w:val="18"/>
        </w:rPr>
        <w:t xml:space="preserve">  |  Cisco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Challenge: </w:t>
      </w:r>
      <w:r>
        <w:rPr>
          <w:rFonts w:ascii="Calibri" w:hAnsi="Calibri"/>
          <w:b w:val="0"/>
          <w:i w:val="0"/>
          <w:color w:val="333333"/>
          <w:sz w:val="20"/>
        </w:rPr>
        <w:t>Needed a scalable digital motion to grow SaaS subscription adoption beyond direct sales.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Action: </w:t>
      </w:r>
      <w:r>
        <w:rPr>
          <w:rFonts w:ascii="Calibri" w:hAnsi="Calibri"/>
          <w:b w:val="0"/>
          <w:i w:val="0"/>
          <w:color w:val="333333"/>
          <w:sz w:val="20"/>
        </w:rPr>
        <w:t>Launched a Webex freemium acquisition program with Compuage, using marketplace positioning and partner-led fulfillment.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Outcome: </w:t>
      </w:r>
      <w:r>
        <w:rPr>
          <w:rFonts w:ascii="Calibri" w:hAnsi="Calibri"/>
          <w:b w:val="0"/>
          <w:i w:val="0"/>
          <w:color w:val="333333"/>
          <w:sz w:val="20"/>
        </w:rPr>
        <w:t xml:space="preserve">Generated </w:t>
      </w:r>
      <w:r>
        <w:rPr>
          <w:rFonts w:ascii="Calibri" w:hAnsi="Calibri"/>
          <w:b/>
          <w:i w:val="0"/>
          <w:color w:val="333333"/>
          <w:sz w:val="20"/>
        </w:rPr>
        <w:t>$1M</w:t>
      </w:r>
      <w:r>
        <w:rPr>
          <w:rFonts w:ascii="Calibri" w:hAnsi="Calibri"/>
          <w:b w:val="0"/>
          <w:i w:val="0"/>
          <w:color w:val="333333"/>
          <w:sz w:val="20"/>
        </w:rPr>
        <w:t xml:space="preserve"> in incremental revenue and </w:t>
      </w:r>
      <w:r>
        <w:rPr>
          <w:rFonts w:ascii="Calibri" w:hAnsi="Calibri"/>
          <w:b/>
          <w:i w:val="0"/>
          <w:color w:val="333333"/>
          <w:sz w:val="20"/>
        </w:rPr>
        <w:t>6,000+</w:t>
      </w:r>
      <w:r>
        <w:rPr>
          <w:rFonts w:ascii="Calibri" w:hAnsi="Calibri"/>
          <w:b w:val="0"/>
          <w:i w:val="0"/>
          <w:color w:val="333333"/>
          <w:sz w:val="20"/>
        </w:rPr>
        <w:t xml:space="preserve"> new users.</w:t>
      </w:r>
    </w:p>
    <w:p>
      <w:pPr>
        <w:spacing w:before="20" w:after="120" w:line="240" w:lineRule="auto"/>
      </w:pPr>
      <w:r>
        <w:rPr>
          <w:rFonts w:ascii="Calibri" w:hAnsi="Calibri"/>
          <w:b/>
          <w:i/>
          <w:color w:val="1F3864"/>
          <w:sz w:val="18"/>
        </w:rPr>
        <w:t xml:space="preserve">Skills: </w:t>
      </w:r>
      <w:r>
        <w:rPr>
          <w:rFonts w:ascii="Calibri" w:hAnsi="Calibri"/>
          <w:b w:val="0"/>
          <w:i/>
          <w:color w:val="555555"/>
          <w:sz w:val="18"/>
        </w:rPr>
        <w:t>SaaS Acquisition, Partner Marketing, Freemium GTM, Ecommerce</w:t>
      </w:r>
    </w:p>
    <w:p>
      <w:pPr>
        <w:spacing w:before="0" w:after="120" w:line="240" w:lineRule="auto"/>
        <w:pBdr>
          <w:bottom w:val="single" w:sz="4" w:space="3" w:color="CCCCCC"/>
        </w:pBdr>
      </w:pPr>
    </w:p>
    <w:p>
      <w:pPr>
        <w:spacing w:before="140" w:after="20" w:line="240" w:lineRule="auto"/>
      </w:pPr>
      <w:r>
        <w:rPr>
          <w:rFonts w:ascii="Calibri" w:hAnsi="Calibri"/>
          <w:b/>
          <w:i w:val="0"/>
          <w:color w:val="1F3864"/>
          <w:sz w:val="21"/>
        </w:rPr>
        <w:t>Sales-Marketing Demand Capture &amp; Pipeline Model</w:t>
      </w:r>
      <w:r>
        <w:rPr>
          <w:rFonts w:ascii="Calibri" w:hAnsi="Calibri"/>
          <w:b w:val="0"/>
          <w:i/>
          <w:color w:val="555555"/>
          <w:sz w:val="18"/>
        </w:rPr>
        <w:t xml:space="preserve">  |  Cisco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Challenge: </w:t>
      </w:r>
      <w:r>
        <w:rPr>
          <w:rFonts w:ascii="Calibri" w:hAnsi="Calibri"/>
          <w:b w:val="0"/>
          <w:i w:val="0"/>
          <w:color w:val="333333"/>
          <w:sz w:val="20"/>
        </w:rPr>
        <w:t>Attribution gaps and weak sales-marketing alignment limited revenue visibility.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Action: </w:t>
      </w:r>
      <w:r>
        <w:rPr>
          <w:rFonts w:ascii="Calibri" w:hAnsi="Calibri"/>
          <w:b w:val="0"/>
          <w:i w:val="0"/>
          <w:color w:val="333333"/>
          <w:sz w:val="20"/>
        </w:rPr>
        <w:t>United Sales, Field Marketing, and Partner teams around a shared demand-capture model using click-to-call, paid lead syndication, and GA4/Salesforce tracking.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1F3864"/>
          <w:sz w:val="20"/>
        </w:rPr>
        <w:t xml:space="preserve">Outcome: </w:t>
      </w:r>
      <w:r>
        <w:rPr>
          <w:rFonts w:ascii="Calibri" w:hAnsi="Calibri"/>
          <w:b w:val="0"/>
          <w:i w:val="0"/>
          <w:color w:val="333333"/>
          <w:sz w:val="20"/>
        </w:rPr>
        <w:t xml:space="preserve">Improved attribution visibility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supported partner-led programs generating </w:t>
      </w:r>
      <w:r>
        <w:rPr>
          <w:rFonts w:ascii="Calibri" w:hAnsi="Calibri"/>
          <w:b/>
          <w:i w:val="0"/>
          <w:color w:val="333333"/>
          <w:sz w:val="20"/>
        </w:rPr>
        <w:t>$120K</w:t>
      </w:r>
      <w:r>
        <w:rPr>
          <w:rFonts w:ascii="Calibri" w:hAnsi="Calibri"/>
          <w:b w:val="0"/>
          <w:i w:val="0"/>
          <w:color w:val="333333"/>
          <w:sz w:val="20"/>
        </w:rPr>
        <w:t xml:space="preserve"> in incremental bookings.</w:t>
      </w:r>
    </w:p>
    <w:p>
      <w:pPr>
        <w:spacing w:before="20" w:after="120" w:line="240" w:lineRule="auto"/>
      </w:pPr>
      <w:r>
        <w:rPr>
          <w:rFonts w:ascii="Calibri" w:hAnsi="Calibri"/>
          <w:b/>
          <w:i/>
          <w:color w:val="1F3864"/>
          <w:sz w:val="18"/>
        </w:rPr>
        <w:t xml:space="preserve">Skills: </w:t>
      </w:r>
      <w:r>
        <w:rPr>
          <w:rFonts w:ascii="Calibri" w:hAnsi="Calibri"/>
          <w:b w:val="0"/>
          <w:i/>
          <w:color w:val="555555"/>
          <w:sz w:val="18"/>
        </w:rPr>
        <w:t>Marketing Attribution, Sales Alignment, Partner GTM, Salesforce/GA4</w:t>
      </w:r>
    </w:p>
    <w:p>
      <w:pPr>
        <w:spacing w:before="160" w:after="0" w:line="240" w:lineRule="auto"/>
        <w:pBdr>
          <w:bottom w:val="single" w:sz="6" w:space="3" w:color="1F3864"/>
        </w:pBdr>
      </w:pPr>
    </w:p>
    <w:p>
      <w:pPr>
        <w:spacing w:before="120" w:after="40" w:line="240" w:lineRule="auto"/>
      </w:pPr>
      <w:r>
        <w:rPr>
          <w:rFonts w:ascii="Calibri" w:hAnsi="Calibri"/>
          <w:b/>
          <w:i w:val="0"/>
          <w:color w:val="1F3864"/>
          <w:sz w:val="18"/>
        </w:rPr>
        <w:t xml:space="preserve">Capabilities: </w:t>
      </w:r>
      <w:r>
        <w:rPr>
          <w:rFonts w:ascii="Calibri" w:hAnsi="Calibri"/>
          <w:b w:val="0"/>
          <w:i w:val="0"/>
          <w:color w:val="333333"/>
          <w:sz w:val="18"/>
        </w:rPr>
        <w:t>Digital Marketing | Growth | Demand Gen | GTM | Integrated Marketing | ABM | Customer Acquisition | Analytics | Automation</w:t>
      </w:r>
    </w:p>
    <w:p>
      <w:pPr>
        <w:spacing w:before="60" w:after="0" w:line="240" w:lineRule="auto"/>
      </w:pPr>
      <w:r>
        <w:rPr>
          <w:rFonts w:ascii="Calibri" w:hAnsi="Calibri"/>
          <w:b/>
          <w:i w:val="0"/>
          <w:color w:val="1F3864"/>
          <w:sz w:val="18"/>
        </w:rPr>
        <w:t xml:space="preserve">Platforms: </w:t>
      </w:r>
      <w:r>
        <w:rPr>
          <w:rFonts w:ascii="Calibri" w:hAnsi="Calibri"/>
          <w:b w:val="0"/>
          <w:i w:val="0"/>
          <w:color w:val="333333"/>
          <w:sz w:val="18"/>
        </w:rPr>
        <w:t>Google Ads | LinkedIn Campaign Manager | DV360 | GA4 | Salesforce | Eloqua | Marketo | HubSpot | Demandbase | Tableau | Domo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