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8A424" w14:textId="77777777" w:rsidR="00892784" w:rsidRPr="00892784" w:rsidRDefault="00892784" w:rsidP="0089278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278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GAGAN DEEP GARG</w:t>
      </w:r>
    </w:p>
    <w:p w14:paraId="1C3DE367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New Delhi, India | +91 9871121860 | gdgarg@gmail.com | LinkedIn: linkedin.com/in/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gdgarg</w:t>
      </w:r>
      <w:proofErr w:type="spellEnd"/>
      <w:r w:rsidRPr="006F4421">
        <w:rPr>
          <w:rFonts w:eastAsia="Times New Roman" w:cstheme="minorHAnsi"/>
          <w:sz w:val="24"/>
          <w:szCs w:val="24"/>
          <w:lang w:eastAsia="en-IN"/>
        </w:rPr>
        <w:br/>
      </w:r>
    </w:p>
    <w:p w14:paraId="0D49B698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APAC </w:t>
      </w:r>
      <w:r w:rsidR="00A27BF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Digital </w:t>
      </w: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Marketing | Demand Generation &amp; AI-Enabled Growth</w:t>
      </w:r>
      <w:r w:rsidRPr="006F4421">
        <w:rPr>
          <w:rFonts w:eastAsia="Times New Roman" w:cstheme="minorHAnsi"/>
          <w:b/>
          <w:bCs/>
          <w:sz w:val="36"/>
          <w:szCs w:val="36"/>
          <w:lang w:eastAsia="en-IN"/>
        </w:rPr>
        <w:br/>
      </w:r>
    </w:p>
    <w:p w14:paraId="5FEEA654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EXECUTIVE SUMMARY</w:t>
      </w:r>
    </w:p>
    <w:p w14:paraId="616FDECC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APAC-focused performance marketing and demand generation leader with 20 years of experience driving enterprise B2B pipeline growth, regional GTM execution, and AI-enabled digital marketing operations across global technology organizations including Cisco and Keysight. Proven expertise scaling localized multi-channel campaigns, CRO programs, lifecycle nurtures, and analytics-led optimization across APAC markets including Japan and South Korea.</w:t>
      </w:r>
    </w:p>
    <w:p w14:paraId="1BC322BC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B1D5B76">
          <v:rect id="_x0000_i1025" style="width:0;height:1.5pt" o:hralign="center" o:hrstd="t" o:hr="t" fillcolor="#a0a0a0" stroked="f"/>
        </w:pict>
      </w:r>
    </w:p>
    <w:p w14:paraId="28184BFB" w14:textId="59B19B8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BUSINESS IMPACT</w:t>
      </w:r>
    </w:p>
    <w:p w14:paraId="4727B32D" w14:textId="77777777"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Delivered 15x ROMI on $4M+ annual marketing investments through analytics-led full-funnel optimization and regional demand generation programs. </w:t>
      </w:r>
    </w:p>
    <w:p w14:paraId="59119AC4" w14:textId="77777777"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YoY across APJC markets through integrated GTM, ABM, and performance marketing initiatives. </w:t>
      </w:r>
    </w:p>
    <w:p w14:paraId="136B2DBE" w14:textId="77777777"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YoY while reducing CPA by 17% using experimentation frameworks, audience optimization, and AI-assisted campaign workflows. </w:t>
      </w:r>
    </w:p>
    <w:p w14:paraId="11C69204" w14:textId="77777777"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YoY through multi-channel performance marketing and regional campaign localization. </w:t>
      </w:r>
    </w:p>
    <w:p w14:paraId="09DC5B94" w14:textId="77777777"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tighter Sales-Marketing alignment, lifecycle nurture optimization, and attribution-led reporting frameworks. </w:t>
      </w:r>
    </w:p>
    <w:p w14:paraId="65B1F21D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04A9276">
          <v:rect id="_x0000_i1026" style="width:0;height:1.5pt" o:hralign="center" o:hrstd="t" o:hr="t" fillcolor="#a0a0a0" stroked="f"/>
        </w:pict>
      </w:r>
    </w:p>
    <w:p w14:paraId="76A228F6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CORE CAPABILITIES</w:t>
      </w:r>
    </w:p>
    <w:p w14:paraId="460A4AD2" w14:textId="77777777"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APAC Performance Marketing &amp; Demand Generation </w:t>
      </w:r>
    </w:p>
    <w:p w14:paraId="13E53208" w14:textId="77777777"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Regional Localization &amp; Multi-Market GTM Execution </w:t>
      </w:r>
    </w:p>
    <w:p w14:paraId="5ABD2B48" w14:textId="77777777"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AI-Assisted Marketing Operations &amp; Experimentation </w:t>
      </w:r>
    </w:p>
    <w:p w14:paraId="263242D9" w14:textId="77777777"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Website Conversion Optimization &amp; Lifecycle Marketing </w:t>
      </w:r>
    </w:p>
    <w:p w14:paraId="713B4291" w14:textId="77777777"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Revenue Analytics, Attribution &amp; Pipeline Acceleration </w:t>
      </w:r>
    </w:p>
    <w:p w14:paraId="09759650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7E1957B">
          <v:rect id="_x0000_i1027" style="width:0;height:1.5pt" o:hralign="center" o:hrstd="t" o:hr="t" fillcolor="#a0a0a0" stroked="f"/>
        </w:pict>
      </w:r>
    </w:p>
    <w:p w14:paraId="7F14223F" w14:textId="77777777" w:rsidR="00892784" w:rsidRPr="00892784" w:rsidRDefault="00892784" w:rsidP="0089278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278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PROFESSIONAL EXPERIENCE</w:t>
      </w:r>
    </w:p>
    <w:p w14:paraId="4272CB04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KEYSIGHT TECHNOLOGIES</w:t>
      </w:r>
    </w:p>
    <w:p w14:paraId="48E3234E" w14:textId="6CA41E41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Marketing Manager – </w:t>
      </w:r>
      <w:r w:rsidR="008A124B">
        <w:rPr>
          <w:rFonts w:eastAsia="Times New Roman" w:cstheme="minorHAnsi"/>
          <w:b/>
          <w:bCs/>
          <w:sz w:val="27"/>
          <w:szCs w:val="27"/>
          <w:lang w:eastAsia="en-IN"/>
        </w:rPr>
        <w:t xml:space="preserve">Digital </w:t>
      </w: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Growth &amp; Demand | Jul 2024 – Present</w:t>
      </w:r>
    </w:p>
    <w:p w14:paraId="4CCE52C8" w14:textId="450CC109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Le</w:t>
      </w:r>
      <w:r w:rsidR="0015376F">
        <w:rPr>
          <w:rFonts w:eastAsia="Times New Roman" w:cstheme="minorHAnsi"/>
          <w:sz w:val="24"/>
          <w:szCs w:val="24"/>
          <w:lang w:eastAsia="en-IN"/>
        </w:rPr>
        <w:t>a</w:t>
      </w:r>
      <w:r w:rsidRPr="00892784">
        <w:rPr>
          <w:rFonts w:eastAsia="Times New Roman" w:cstheme="minorHAnsi"/>
          <w:sz w:val="24"/>
          <w:szCs w:val="24"/>
          <w:lang w:eastAsia="en-IN"/>
        </w:rPr>
        <w:t xml:space="preserve">d APAC </w:t>
      </w:r>
      <w:r w:rsidR="0015376F">
        <w:rPr>
          <w:rFonts w:eastAsia="Times New Roman" w:cstheme="minorHAnsi"/>
          <w:sz w:val="24"/>
          <w:szCs w:val="24"/>
          <w:lang w:eastAsia="en-IN"/>
        </w:rPr>
        <w:t xml:space="preserve">digital </w:t>
      </w:r>
      <w:r w:rsidRPr="00892784">
        <w:rPr>
          <w:rFonts w:eastAsia="Times New Roman" w:cstheme="minorHAnsi"/>
          <w:sz w:val="24"/>
          <w:szCs w:val="24"/>
          <w:lang w:eastAsia="en-IN"/>
        </w:rPr>
        <w:t xml:space="preserve">growth and demand generation programs across mature and emerging markets, balancing awareness, conversion, pipeline growth, and revenue outcomes. </w:t>
      </w:r>
    </w:p>
    <w:p w14:paraId="224AAEA1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Execute integrated multi-channel campaigns across LinkedIn, Google Search, Programmatic, Video, and Content Syndication targeting enterprise technology buyers. </w:t>
      </w:r>
    </w:p>
    <w:p w14:paraId="261A2683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Localize global campaign frameworks across APAC markets, adapting messaging, creative, and conversion journeys for regional audience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and market maturity. </w:t>
      </w:r>
    </w:p>
    <w:p w14:paraId="54444921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Apply account-based marketing (ABM), intent targeting, and audience enrichment strategies to engage high-priority enterprise accounts and improve buying-stage progression. </w:t>
      </w:r>
    </w:p>
    <w:p w14:paraId="5AB65326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Build AI-assisted marketing workflows using GPT and Claude to accelerate campaign analysis, creative iteration, reporting efficiency, experimentation, and operational execution. </w:t>
      </w:r>
    </w:p>
    <w:p w14:paraId="1FA0C2AE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Run structured experimentation frameworks across audiences, creatives, landing pages, and conversion paths to improve qualified pipeline generation and campaign efficiency. </w:t>
      </w:r>
    </w:p>
    <w:p w14:paraId="755959EF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lastRenderedPageBreak/>
        <w:t xml:space="preserve">Optimize landing page journeys, lead capture flows, and attribution instrumentation using GA4 and analytics frameworks to improve conversion performance. </w:t>
      </w:r>
    </w:p>
    <w:p w14:paraId="7FDC2606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 closely with Sales, Product Marketing, and Campaign teams to align GTM execution with regional pipeline priorities and enterprise customer pain points. </w:t>
      </w:r>
    </w:p>
    <w:p w14:paraId="3BABAC4A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Manage and optimize $3M+ annual digital investments across APAC using analytics-led optimization and performance attribution models. </w:t>
      </w:r>
    </w:p>
    <w:p w14:paraId="43FD7351" w14:textId="77777777"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YoY while reducing CPA through testing, segmentation, and conversion optimization programs. </w:t>
      </w:r>
    </w:p>
    <w:p w14:paraId="6D3DBB7F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43056A3">
          <v:rect id="_x0000_i1028" style="width:0;height:1.5pt" o:hralign="center" o:hrstd="t" o:hr="t" fillcolor="#a0a0a0" stroked="f"/>
        </w:pict>
      </w:r>
    </w:p>
    <w:p w14:paraId="744EE581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CISCO SYSTEMS</w:t>
      </w:r>
    </w:p>
    <w:p w14:paraId="11C77523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Digital Marketing Lead | Feb 2011 – Feb 2024</w:t>
      </w:r>
    </w:p>
    <w:p w14:paraId="2BE56927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Led regional demand generation and performance marketing strategy across India and APJC for enterprise technology solutions and complex B2B buying cycles. </w:t>
      </w:r>
    </w:p>
    <w:p w14:paraId="1AFFC1CE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Designed and executed full-funnel GTM programs spanning awareness, engagement, lifecycle nurturing, pipeline acceleration, and conversion optimization. </w:t>
      </w:r>
    </w:p>
    <w:p w14:paraId="60BABDFF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Managed integrated paid media campaigns across LinkedIn, Google, Programmatic, Mobile, Video, and Content Syndication channels to improve scale, efficiency, and qualified pipeline growth. </w:t>
      </w:r>
    </w:p>
    <w:p w14:paraId="7717C862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Supported regional digital marketing execution across APAC markets including Japan and South Korea through localized campaign adaptation, agency collaboration, and regional optimization frameworks. </w:t>
      </w:r>
    </w:p>
    <w:p w14:paraId="666F5541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Partnered with regional stakeholders to adapt global campaigns for APAC audiences while maintaining alignment with enterprise messaging and brand standards. </w:t>
      </w:r>
    </w:p>
    <w:p w14:paraId="58268FFB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and optimized regional email nurture programs using Marketo aligned to buying-stage engagement, account progression, and Sales follow-up priorities. </w:t>
      </w:r>
    </w:p>
    <w:p w14:paraId="5A6E6334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Applied AI-assisted workflows, automation systems, and experimentation models to improve campaign velocity, reporting efficiency, and performance insights. </w:t>
      </w:r>
    </w:p>
    <w:p w14:paraId="57E0A59E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Strengthened attribution, reporting visibility, and performance analytics frameworks using GA4 and Salesforce to improve regional decision-making. </w:t>
      </w:r>
    </w:p>
    <w:p w14:paraId="603E9588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Partnered closely with Sales leadership to align marketing programs with account priorities, funnel targets, and pipeline objectives across APJC markets. </w:t>
      </w:r>
    </w:p>
    <w:p w14:paraId="5BFB7B44" w14:textId="77777777"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YoY and improved pipeline conversion by 20% through integrated APAC GTM and performance marketing programs. </w:t>
      </w:r>
    </w:p>
    <w:p w14:paraId="59B4B904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D78ABF0">
          <v:rect id="_x0000_i1029" style="width:0;height:1.5pt" o:hralign="center" o:hrstd="t" o:hr="t" fillcolor="#a0a0a0" stroked="f"/>
        </w:pict>
      </w:r>
    </w:p>
    <w:p w14:paraId="052ABC14" w14:textId="1C293C61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NETWORK18 TV — Manager, </w:t>
      </w:r>
      <w:r w:rsidR="0071612D">
        <w:rPr>
          <w:rFonts w:eastAsia="Times New Roman" w:cstheme="minorHAnsi"/>
          <w:b/>
          <w:bCs/>
          <w:sz w:val="36"/>
          <w:szCs w:val="36"/>
          <w:lang w:eastAsia="en-IN"/>
        </w:rPr>
        <w:t>Integrated Marketing</w:t>
      </w: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| 2008–2010</w:t>
      </w:r>
    </w:p>
    <w:p w14:paraId="537DF4C6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Built integrated advertising and sponsorship programs across television, digital, print, and experiential channels. Managed enterprise brand campaigns and cross-channel audience engagement initiatives across multi-platform media ecosystems.</w:t>
      </w:r>
    </w:p>
    <w:p w14:paraId="222441E6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96918CA">
          <v:rect id="_x0000_i1030" style="width:0;height:1.5pt" o:hralign="center" o:hrstd="t" o:hr="t" fillcolor="#a0a0a0" stroked="f"/>
        </w:pict>
      </w:r>
    </w:p>
    <w:p w14:paraId="6400D298" w14:textId="7FAA5201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THE TIMES OF INDIA — Assistant Manager,</w:t>
      </w:r>
      <w:r w:rsidR="0071612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Advertising | 2003–2008</w:t>
      </w:r>
    </w:p>
    <w:p w14:paraId="0E9BFA59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14:paraId="10DFD5BE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FE8C7EF">
          <v:rect id="_x0000_i1031" style="width:0;height:1.5pt" o:hralign="center" o:hrstd="t" o:hr="t" fillcolor="#a0a0a0" stroked="f"/>
        </w:pict>
      </w:r>
    </w:p>
    <w:p w14:paraId="76179058" w14:textId="618C37CF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PROJECTS</w:t>
      </w:r>
    </w:p>
    <w:p w14:paraId="01097443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APAC GTM &amp; Demand Generation Programs | Cisco Systems</w:t>
      </w:r>
    </w:p>
    <w:p w14:paraId="62BDDE38" w14:textId="77777777" w:rsidR="00892784" w:rsidRPr="00892784" w:rsidRDefault="00892784" w:rsidP="008927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and executed regional GTM and demand generation initiatives aligned to APJC sales priorities and enterprise pipeline targets. </w:t>
      </w:r>
    </w:p>
    <w:p w14:paraId="2902E6CF" w14:textId="77777777" w:rsidR="00892784" w:rsidRPr="00892784" w:rsidRDefault="00892784" w:rsidP="008927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YoY and improved pipeline conversion by 20%. </w:t>
      </w:r>
    </w:p>
    <w:p w14:paraId="6F5D57AE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Global Demand Engine Optimization | Keysight Technologies</w:t>
      </w:r>
    </w:p>
    <w:p w14:paraId="6AF9AF29" w14:textId="77777777" w:rsidR="00892784" w:rsidRPr="00892784" w:rsidRDefault="00892784" w:rsidP="0089278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Led experimentation-driven optimization across paid media, audience segmentation, lifecycle engagement, and conversion workflows. </w:t>
      </w:r>
    </w:p>
    <w:p w14:paraId="07C1A8F7" w14:textId="77777777" w:rsidR="00892784" w:rsidRPr="00892784" w:rsidRDefault="00892784" w:rsidP="0089278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conversions by 22% YoY while reducing CPA by 17%. </w:t>
      </w:r>
    </w:p>
    <w:p w14:paraId="2B7BC2F4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AI-Assisted Marketing Workflow Optimization</w:t>
      </w:r>
    </w:p>
    <w:p w14:paraId="45F2DF76" w14:textId="77777777" w:rsidR="00892784" w:rsidRPr="00892784" w:rsidRDefault="00892784" w:rsidP="00892784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AI-enabled workflows using GPT and Claude to improve campaign analysis, experimentation, reporting efficiency, and content iteration processes across regional marketing operations. </w:t>
      </w:r>
    </w:p>
    <w:p w14:paraId="11737D06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04B11C3">
          <v:rect id="_x0000_i1032" style="width:0;height:1.5pt" o:hralign="center" o:hrstd="t" o:hr="t" fillcolor="#a0a0a0" stroked="f"/>
        </w:pict>
      </w:r>
    </w:p>
    <w:p w14:paraId="169009C7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TOOLS / TECHNOLOGIES</w:t>
      </w:r>
    </w:p>
    <w:p w14:paraId="2ED3CC6B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CRM &amp; Marketing Automation</w:t>
      </w:r>
    </w:p>
    <w:p w14:paraId="0E55F665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Salesforce, Marketo Engage, HubSpot, Oracle Eloqua</w:t>
      </w:r>
    </w:p>
    <w:p w14:paraId="12DA4C26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Paid Media &amp; Performance Marketing</w:t>
      </w:r>
    </w:p>
    <w:p w14:paraId="5BA7FDE8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LinkedIn Campaign Manager, Google Ads, DV360, Meta Ads, YouTube Ads, Programmatic Media</w:t>
      </w:r>
    </w:p>
    <w:p w14:paraId="56C49EA6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Analytics &amp; Conversion Optimization</w:t>
      </w:r>
    </w:p>
    <w:p w14:paraId="50071953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GA4, Adobe Analytics, Tableau, Looker Studio, Attribution Reporting, CRO Testing</w:t>
      </w:r>
    </w:p>
    <w:p w14:paraId="3B6368E2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AI &amp; Productivity</w:t>
      </w:r>
    </w:p>
    <w:p w14:paraId="6FBB76DF" w14:textId="77777777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OpenAI GPT, Claude, AI-Assisted Workflow Automation, Jira, Asana</w:t>
      </w:r>
    </w:p>
    <w:p w14:paraId="05CC41E0" w14:textId="77777777" w:rsidR="00892784" w:rsidRPr="00892784" w:rsidRDefault="00000000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AF53C14">
          <v:rect id="_x0000_i1033" style="width:0;height:1.5pt" o:hralign="center" o:hrstd="t" o:hr="t" fillcolor="#a0a0a0" stroked="f"/>
        </w:pict>
      </w:r>
    </w:p>
    <w:p w14:paraId="0807E168" w14:textId="77777777"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EDUCATION</w:t>
      </w:r>
    </w:p>
    <w:p w14:paraId="315EFAA5" w14:textId="77777777"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Master of Business Administration (MBA)</w:t>
      </w:r>
    </w:p>
    <w:p w14:paraId="23C257B2" w14:textId="61F906DA"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Army College of Materials Management, University of Jabalpur</w:t>
      </w:r>
      <w:r w:rsidR="00BB1BC7">
        <w:rPr>
          <w:rFonts w:eastAsia="Times New Roman" w:cstheme="minorHAnsi"/>
          <w:sz w:val="24"/>
          <w:szCs w:val="24"/>
          <w:lang w:eastAsia="en-IN"/>
        </w:rPr>
        <w:t>, India.</w:t>
      </w:r>
    </w:p>
    <w:p w14:paraId="71AB13A3" w14:textId="77777777" w:rsidR="003A0570" w:rsidRPr="006F4421" w:rsidRDefault="003A0570" w:rsidP="00892784">
      <w:pPr>
        <w:spacing w:after="0"/>
        <w:rPr>
          <w:rFonts w:cstheme="minorHAnsi"/>
        </w:rPr>
      </w:pPr>
    </w:p>
    <w:sectPr w:rsidR="003A0570" w:rsidRPr="006F4421" w:rsidSect="00892784">
      <w:pgSz w:w="11906" w:h="16838"/>
      <w:pgMar w:top="709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56"/>
    <w:multiLevelType w:val="multilevel"/>
    <w:tmpl w:val="71B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A2C0D"/>
    <w:multiLevelType w:val="multilevel"/>
    <w:tmpl w:val="68D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60255"/>
    <w:multiLevelType w:val="multilevel"/>
    <w:tmpl w:val="5BB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628D9"/>
    <w:multiLevelType w:val="multilevel"/>
    <w:tmpl w:val="831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E3752"/>
    <w:multiLevelType w:val="multilevel"/>
    <w:tmpl w:val="ED3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915A2"/>
    <w:multiLevelType w:val="multilevel"/>
    <w:tmpl w:val="578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15CD2"/>
    <w:multiLevelType w:val="multilevel"/>
    <w:tmpl w:val="41F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71969">
    <w:abstractNumId w:val="6"/>
  </w:num>
  <w:num w:numId="2" w16cid:durableId="183641683">
    <w:abstractNumId w:val="2"/>
  </w:num>
  <w:num w:numId="3" w16cid:durableId="443496304">
    <w:abstractNumId w:val="4"/>
  </w:num>
  <w:num w:numId="4" w16cid:durableId="1559897639">
    <w:abstractNumId w:val="0"/>
  </w:num>
  <w:num w:numId="5" w16cid:durableId="1481995847">
    <w:abstractNumId w:val="1"/>
  </w:num>
  <w:num w:numId="6" w16cid:durableId="1909879426">
    <w:abstractNumId w:val="5"/>
  </w:num>
  <w:num w:numId="7" w16cid:durableId="1530753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A4"/>
    <w:rsid w:val="0015376F"/>
    <w:rsid w:val="003A0570"/>
    <w:rsid w:val="006F4421"/>
    <w:rsid w:val="0071612D"/>
    <w:rsid w:val="007724A4"/>
    <w:rsid w:val="00892784"/>
    <w:rsid w:val="008A124B"/>
    <w:rsid w:val="00A27BFE"/>
    <w:rsid w:val="00BB1BC7"/>
    <w:rsid w:val="00ED4D1B"/>
    <w:rsid w:val="00F5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2003"/>
  <w15:chartTrackingRefBased/>
  <w15:docId w15:val="{5CB10C86-4F53-4FEF-97D6-C981BF55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2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2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27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27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2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2026-05-27T14:38:00Z</dcterms:created>
  <dcterms:modified xsi:type="dcterms:W3CDTF">2026-07-28T05:27:00Z</dcterms:modified>
</cp:coreProperties>
</file>