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HEAD OF MARKETING | BUSINESS STRATEGY, GTM &amp; INTEGRATED MARKETING LEADERSHIP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9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business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go-to-market execution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brand positioning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integrated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organizations. Proven track record building scalable demand engines, strengthening brand visibility, and aligning marketing investment with measurable pipeline, revenue, and business outcomes.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Combines executive marketing leadership with hands-on ownership across </w:t>
      </w:r>
      <w:r>
        <w:rPr>
          <w:rFonts w:ascii="Calibri" w:hAnsi="Calibri"/>
          <w:b/>
          <w:i w:val="0"/>
          <w:color w:val="333333"/>
          <w:sz w:val="20"/>
        </w:rPr>
        <w:t>brand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digital and 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marketing operations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AI-enabled transformation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partnering with Sales, Product, and executive leadership to drive cross-functional business impact.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Marketing Leadership  •  Business Strategy &amp; GTM  •  Integrated Marketing &amp; Communications  •  Brand Strategy &amp; Positioning  •  Account-Based Marketing (ABM)  •  Demand Generation &amp; Pipeline Growth  •  Digital &amp; Performance Marketing  •  Social Media &amp; Content Strategy  •  Website &amp; Digital Experience  •  Marketing Operations &amp; Budget Governance  •  Agency &amp; Vendor Management  •  Marketing Analytics &amp; Attribution •  Event &amp; Field Marketing  •  Cross-functional &amp; Executive Stakeholder Leadership  •  AI-Enabled Marketing Transformation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global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budget governance and media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building demand engines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a B2B SaaS marketplace launch generating </w:t>
      </w:r>
      <w:r>
        <w:rPr>
          <w:rFonts w:ascii="Calibri" w:hAnsi="Calibri"/>
          <w:b/>
          <w:i w:val="0"/>
          <w:color w:val="333333"/>
          <w:sz w:val="20"/>
        </w:rPr>
        <w:t>$120K in revenue and 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corporate and product brand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executive reporting frameworks.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enterprise marketing strategy spanning growth marketing, demand generation, integrated marketing, ABM, and GTM execution across India and the broader APJC region.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$3M+ annual marketing budget</w:t>
      </w:r>
      <w:r>
        <w:rPr>
          <w:rFonts w:ascii="Calibri" w:hAnsi="Calibri"/>
          <w:b w:val="0"/>
          <w:i w:val="0"/>
          <w:color w:val="333333"/>
          <w:sz w:val="20"/>
        </w:rPr>
        <w:t>, aligning investment across digital, ABM, and integrated programs with pipeline and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Manage ABM programs using intent-driven marketing to drive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marketing automation, analytics, attribution, and executive reporting frameworks across the marketing organization.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Sales, Regional Marketing, Product Marketing, and Operations to govern campaign execution and performance.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marketing workflows and operational processes, improving execution speed and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integrated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>, spanning brand, digital, demand generation, and regional field marketing.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paid media, digital, social, content, and event programs; directed agency partners including Mindshare, GroupM, Dentsu, Publicis, Omnicom, and Neo.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Established and governed Cisco India's social media ecosystem and enterprise website (Cisco WEM), including editorial governance across web, blog, 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Directed executive engagement programs including industry conferences, executive roundtables, and regional customer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Built executive dashboards and marketing measurement frameworks,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agency partners; recognized with the Cisco CMO Award, Cisco Partner Recognition Award, and Cisco Marketing Best Practice Award.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Corporate Brand Campaigns: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integrated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Enterprise Demand Engine: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scalable ABM and demand generation programs,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GTM and customer acquisition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from zero to scale.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Partner &amp; Channel Marketing: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joint GTM and co-marketing programs with strategic distribution partners including </w:t>
      </w:r>
      <w:r>
        <w:rPr>
          <w:rFonts w:ascii="Calibri" w:hAnsi="Calibri"/>
          <w:b/>
          <w:i w:val="0"/>
          <w:color w:val="333333"/>
          <w:sz w:val="20"/>
        </w:rPr>
        <w:t>Redington, Compuage, and Ingram Micro</w:t>
      </w:r>
      <w:r>
        <w:rPr>
          <w:rFonts w:ascii="Calibri" w:hAnsi="Calibri"/>
          <w:b w:val="0"/>
          <w:i w:val="0"/>
          <w:color w:val="333333"/>
          <w:sz w:val="20"/>
        </w:rPr>
        <w:t>, strengthening regional channel reach.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Technology: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ABM &amp; Collaboration: </w:t>
      </w:r>
      <w:r>
        <w:rPr>
          <w:rFonts w:ascii="Calibri" w:hAnsi="Calibri"/>
          <w:b w:val="0"/>
          <w:i w:val="0"/>
          <w:color w:val="333333"/>
          <w:sz w:val="20"/>
        </w:rPr>
        <w:t>Demandbase | 6sense | Jira | Asana | Slack | Miro | SharePoint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7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