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1F3864"/>
          <w:sz w:val="40"/>
        </w:rPr>
        <w:t>GAGAN DEEP GARG</w:t>
      </w:r>
    </w:p>
    <w:p>
      <w:pPr>
        <w:spacing w:before="0" w:after="80" w:line="240" w:lineRule="auto"/>
        <w:jc w:val="center"/>
      </w:pPr>
      <w:r>
        <w:rPr>
          <w:rFonts w:ascii="Calibri" w:hAnsi="Calibri"/>
          <w:b/>
          <w:i w:val="0"/>
          <w:color w:val="555555"/>
          <w:sz w:val="21"/>
        </w:rPr>
        <w:t>HEAD OF MARKETING | BUSINESS STRATEGY, GTM &amp; INTEGRATED MARKETING LEADERSHIP | B2B SAAS</w:t>
      </w:r>
    </w:p>
    <w:p>
      <w:pPr>
        <w:spacing w:before="0" w:after="40" w:line="240" w:lineRule="auto"/>
        <w:jc w:val="center"/>
      </w:pPr>
      <w:r>
        <w:rPr>
          <w:rFonts w:ascii="Calibri" w:hAnsi="Calibri"/>
          <w:b/>
          <w:i w:val="0"/>
          <w:color w:val="555555"/>
          <w:sz w:val="18"/>
        </w:rPr>
        <w:t>Open to Relocation – GCC  |  Open to Remote Opportunities – GCC</w:t>
      </w:r>
    </w:p>
    <w:p>
      <w:pPr>
        <w:spacing w:before="0" w:after="60" w:line="240" w:lineRule="auto"/>
        <w:jc w:val="center"/>
        <w:pBdr>
          <w:bottom w:val="single" w:sz="8" w:space="3" w:color="1F3864"/>
        </w:pBdr>
      </w:pPr>
      <w:r>
        <w:rPr>
          <w:rFonts w:ascii="Calibri" w:hAnsi="Calibri"/>
          <w:b w:val="0"/>
          <w:i w:val="0"/>
          <w:color w:val="333333"/>
          <w:sz w:val="18"/>
        </w:rPr>
        <w:t>+91 9871121860  •  gdgarg@gmail.com  •  linkedin.com/in/gdgarg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SUMMARY</w:t>
      </w:r>
    </w:p>
    <w:p>
      <w:pPr>
        <w:spacing w:before="0" w:after="9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 xml:space="preserve">Marketing leader with </w:t>
      </w:r>
      <w:r>
        <w:rPr>
          <w:rFonts w:ascii="Calibri" w:hAnsi="Calibri"/>
          <w:b/>
          <w:i w:val="0"/>
          <w:color w:val="333333"/>
          <w:sz w:val="20"/>
        </w:rPr>
        <w:t>20 years of experience</w:t>
      </w:r>
      <w:r>
        <w:rPr>
          <w:rFonts w:ascii="Calibri" w:hAnsi="Calibri"/>
          <w:b w:val="0"/>
          <w:i w:val="0"/>
          <w:color w:val="333333"/>
          <w:sz w:val="20"/>
        </w:rPr>
        <w:t xml:space="preserve"> driving </w:t>
      </w:r>
      <w:r>
        <w:rPr>
          <w:rFonts w:ascii="Calibri" w:hAnsi="Calibri"/>
          <w:b/>
          <w:i w:val="0"/>
          <w:color w:val="333333"/>
          <w:sz w:val="20"/>
        </w:rPr>
        <w:t>business strategy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/>
          <w:i w:val="0"/>
          <w:color w:val="333333"/>
          <w:sz w:val="20"/>
        </w:rPr>
        <w:t>go-to-market execution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/>
          <w:i w:val="0"/>
          <w:color w:val="333333"/>
          <w:sz w:val="20"/>
        </w:rPr>
        <w:t>brand positioning</w:t>
      </w:r>
      <w:r>
        <w:rPr>
          <w:rFonts w:ascii="Calibri" w:hAnsi="Calibri"/>
          <w:b w:val="0"/>
          <w:i w:val="0"/>
          <w:color w:val="333333"/>
          <w:sz w:val="20"/>
        </w:rPr>
        <w:t xml:space="preserve">, and </w:t>
      </w:r>
      <w:r>
        <w:rPr>
          <w:rFonts w:ascii="Calibri" w:hAnsi="Calibri"/>
          <w:b/>
          <w:i w:val="0"/>
          <w:color w:val="333333"/>
          <w:sz w:val="20"/>
        </w:rPr>
        <w:t>integrated marketing</w:t>
      </w:r>
      <w:r>
        <w:rPr>
          <w:rFonts w:ascii="Calibri" w:hAnsi="Calibri"/>
          <w:b w:val="0"/>
          <w:i w:val="0"/>
          <w:color w:val="333333"/>
          <w:sz w:val="20"/>
        </w:rPr>
        <w:t xml:space="preserve"> across </w:t>
      </w:r>
      <w:r>
        <w:rPr>
          <w:rFonts w:ascii="Calibri" w:hAnsi="Calibri"/>
          <w:b/>
          <w:i w:val="0"/>
          <w:color w:val="333333"/>
          <w:sz w:val="20"/>
        </w:rPr>
        <w:t>B2B SaaS</w:t>
      </w:r>
      <w:r>
        <w:rPr>
          <w:rFonts w:ascii="Calibri" w:hAnsi="Calibri"/>
          <w:b w:val="0"/>
          <w:i w:val="0"/>
          <w:color w:val="333333"/>
          <w:sz w:val="20"/>
        </w:rPr>
        <w:t xml:space="preserve"> organizations in the </w:t>
      </w:r>
      <w:r>
        <w:rPr>
          <w:rFonts w:ascii="Calibri" w:hAnsi="Calibri"/>
          <w:b/>
          <w:i w:val="0"/>
          <w:color w:val="333333"/>
          <w:sz w:val="20"/>
        </w:rPr>
        <w:t>GCC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global markets. Proven track record building scalable demand engines, strengthening brand visibility, and aligning marketing investment with measurable pipeline, revenue, and business outcomes.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 xml:space="preserve">Combines executive marketing leadership with hands-on ownership across </w:t>
      </w:r>
      <w:r>
        <w:rPr>
          <w:rFonts w:ascii="Calibri" w:hAnsi="Calibri"/>
          <w:b/>
          <w:i w:val="0"/>
          <w:color w:val="333333"/>
          <w:sz w:val="20"/>
        </w:rPr>
        <w:t>brand strategy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/>
          <w:i w:val="0"/>
          <w:color w:val="333333"/>
          <w:sz w:val="20"/>
        </w:rPr>
        <w:t>digital and performance marketing</w:t>
      </w:r>
      <w:r>
        <w:rPr>
          <w:rFonts w:ascii="Calibri" w:hAnsi="Calibri"/>
          <w:b w:val="0"/>
          <w:i w:val="0"/>
          <w:color w:val="333333"/>
          <w:sz w:val="20"/>
        </w:rPr>
        <w:t xml:space="preserve">, </w:t>
      </w:r>
      <w:r>
        <w:rPr>
          <w:rFonts w:ascii="Calibri" w:hAnsi="Calibri"/>
          <w:b/>
          <w:i w:val="0"/>
          <w:color w:val="333333"/>
          <w:sz w:val="20"/>
        </w:rPr>
        <w:t>marketing operations</w:t>
      </w:r>
      <w:r>
        <w:rPr>
          <w:rFonts w:ascii="Calibri" w:hAnsi="Calibri"/>
          <w:b w:val="0"/>
          <w:i w:val="0"/>
          <w:color w:val="333333"/>
          <w:sz w:val="20"/>
        </w:rPr>
        <w:t xml:space="preserve">, and </w:t>
      </w:r>
      <w:r>
        <w:rPr>
          <w:rFonts w:ascii="Calibri" w:hAnsi="Calibri"/>
          <w:b/>
          <w:i w:val="0"/>
          <w:color w:val="333333"/>
          <w:sz w:val="20"/>
        </w:rPr>
        <w:t>AI-enabled transformation</w:t>
      </w:r>
      <w:r>
        <w:rPr>
          <w:rFonts w:ascii="Calibri" w:hAnsi="Calibri"/>
          <w:b w:val="0"/>
          <w:i w:val="0"/>
          <w:color w:val="333333"/>
          <w:sz w:val="20"/>
        </w:rPr>
        <w:t xml:space="preserve"> — partnering with Sales, Product, and executive leadership to drive cross-functional business impact.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CORE SKILLS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color w:val="333333"/>
          <w:sz w:val="20"/>
        </w:rPr>
        <w:t>Marketing Leadership  •  Business Strategy &amp; GTM  •  Integrated Marketing &amp; Communications  •  Brand Strategy &amp; Positioning  •  Account-Based Marketing (ABM)  •  Demand Generation &amp; Pipeline Growth  •  Digital &amp; Performance Marketing  •  Social Media &amp; Content Strategy  •  Website &amp; Digital Experience  •  Marketing Operations &amp; Budget Governance  •  Agency &amp; Vendor Management  •  Marketing Analytics &amp; Attribution •  Event &amp; Field Marketing  •  Cross-functional &amp; Executive Stakeholder Leadership  •  AI-Enabled Marketing Transformation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CAREER HIGHLIGHTS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global marketing investments</w:t>
      </w:r>
      <w:r>
        <w:rPr>
          <w:rFonts w:ascii="Calibri" w:hAnsi="Calibri"/>
          <w:b w:val="0"/>
          <w:i w:val="0"/>
          <w:color w:val="333333"/>
          <w:sz w:val="20"/>
        </w:rPr>
        <w:t xml:space="preserve">, delivering </w:t>
      </w:r>
      <w:r>
        <w:rPr>
          <w:rFonts w:ascii="Calibri" w:hAnsi="Calibri"/>
          <w:b/>
          <w:i w:val="0"/>
          <w:color w:val="333333"/>
          <w:sz w:val="20"/>
        </w:rPr>
        <w:t>15x ROMI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disciplined budget governance and media optimization.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Increased qualified pipeline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 xml:space="preserve">, building demand engines generating </w:t>
      </w:r>
      <w:r>
        <w:rPr>
          <w:rFonts w:ascii="Calibri" w:hAnsi="Calibri"/>
          <w:b/>
          <w:i w:val="0"/>
          <w:color w:val="333333"/>
          <w:sz w:val="20"/>
        </w:rPr>
        <w:t>400+ qualified opportunities annually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Increased website traffic by </w:t>
      </w:r>
      <w:r>
        <w:rPr>
          <w:rFonts w:ascii="Calibri" w:hAnsi="Calibri"/>
          <w:b/>
          <w:i w:val="0"/>
          <w:color w:val="333333"/>
          <w:sz w:val="20"/>
        </w:rPr>
        <w:t>400%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digital reach by </w:t>
      </w:r>
      <w:r>
        <w:rPr>
          <w:rFonts w:ascii="Calibri" w:hAnsi="Calibri"/>
          <w:b/>
          <w:i w:val="0"/>
          <w:color w:val="333333"/>
          <w:sz w:val="20"/>
        </w:rPr>
        <w:t>325%</w:t>
      </w:r>
      <w:r>
        <w:rPr>
          <w:rFonts w:ascii="Calibri" w:hAnsi="Calibri"/>
          <w:b w:val="0"/>
          <w:i w:val="0"/>
          <w:color w:val="333333"/>
          <w:sz w:val="20"/>
        </w:rPr>
        <w:t xml:space="preserve">, including a B2B SaaS marketplace launch generating </w:t>
      </w:r>
      <w:r>
        <w:rPr>
          <w:rFonts w:ascii="Calibri" w:hAnsi="Calibri"/>
          <w:b/>
          <w:i w:val="0"/>
          <w:color w:val="333333"/>
          <w:sz w:val="20"/>
        </w:rPr>
        <w:t>$120K in revenue and 6,000+ users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</w:t>
      </w:r>
      <w:r>
        <w:rPr>
          <w:rFonts w:ascii="Calibri" w:hAnsi="Calibri"/>
          <w:b/>
          <w:i w:val="0"/>
          <w:color w:val="333333"/>
          <w:sz w:val="20"/>
        </w:rPr>
        <w:t>brand recall by 9%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</w:t>
      </w:r>
      <w:r>
        <w:rPr>
          <w:rFonts w:ascii="Calibri" w:hAnsi="Calibri"/>
          <w:b/>
          <w:i w:val="0"/>
          <w:color w:val="333333"/>
          <w:sz w:val="20"/>
        </w:rPr>
        <w:t>brand consideration by 2.5 points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integrated corporate and product brand campaigns.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Improved </w:t>
      </w:r>
      <w:r>
        <w:rPr>
          <w:rFonts w:ascii="Calibri" w:hAnsi="Calibri"/>
          <w:b/>
          <w:i w:val="0"/>
          <w:color w:val="333333"/>
          <w:sz w:val="20"/>
        </w:rPr>
        <w:t>marketing attribution visibility by 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GA4 and Salesforce-powered executive reporting frameworks.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Reduced manual marketing effort by </w:t>
      </w:r>
      <w:r>
        <w:rPr>
          <w:rFonts w:ascii="Calibri" w:hAnsi="Calibri"/>
          <w:b/>
          <w:i w:val="0"/>
          <w:color w:val="333333"/>
          <w:sz w:val="20"/>
        </w:rPr>
        <w:t>30+ hours per week</w:t>
      </w:r>
      <w:r>
        <w:rPr>
          <w:rFonts w:ascii="Calibri" w:hAnsi="Calibri"/>
          <w:b w:val="0"/>
          <w:i w:val="0"/>
          <w:color w:val="333333"/>
          <w:sz w:val="20"/>
        </w:rPr>
        <w:t xml:space="preserve"> through AI-enabled workflow automation.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LEADERSHIP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Keysight Technologies</w:t>
      </w:r>
      <w:r>
        <w:rPr>
          <w:rFonts w:ascii="Calibri" w:hAnsi="Calibri"/>
          <w:b w:val="0"/>
          <w:i/>
          <w:color w:val="555555"/>
          <w:sz w:val="20"/>
        </w:rPr>
        <w:t xml:space="preserve">  |  Marketing Manager – Global Growth, Strategy &amp; GTM Operations</w:t>
      </w:r>
      <w:r>
        <w:rPr>
          <w:rFonts w:ascii="Calibri" w:hAnsi="Calibri"/>
          <w:b w:val="0"/>
          <w:i/>
          <w:color w:val="555555"/>
          <w:sz w:val="18"/>
        </w:rPr>
        <w:tab/>
        <w:t>Jul 2024 – Present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Lead enterprise marketing strategy spanning growth marketing, demand generation, integrated marketing, ABM, and GTM execution across GCC and global markets.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Own </w:t>
      </w:r>
      <w:r>
        <w:rPr>
          <w:rFonts w:ascii="Calibri" w:hAnsi="Calibri"/>
          <w:b/>
          <w:i w:val="0"/>
          <w:color w:val="333333"/>
          <w:sz w:val="20"/>
        </w:rPr>
        <w:t>$3M+ annual marketing budget</w:t>
      </w:r>
      <w:r>
        <w:rPr>
          <w:rFonts w:ascii="Calibri" w:hAnsi="Calibri"/>
          <w:b w:val="0"/>
          <w:i w:val="0"/>
          <w:color w:val="333333"/>
          <w:sz w:val="20"/>
        </w:rPr>
        <w:t>, aligning investment across digital, ABM, and integrated programs with pipeline and revenue priorities.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Manage ABM programs using intent-driven marketing to drive enterprise account engagement and penetration.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Lead marketing automation, analytics, attribution, and executive reporting frameworks across the marketing organization.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Partner with Sales, Regional Marketing, Product Marketing, and Operations to govern campaign execution and performance.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Drive AI adoption across marketing workflows and operational processes, improving execution speed and scalability.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Cisco Systems</w:t>
      </w:r>
      <w:r>
        <w:rPr>
          <w:rFonts w:ascii="Calibri" w:hAnsi="Calibri"/>
          <w:b w:val="0"/>
          <w:i/>
          <w:color w:val="555555"/>
          <w:sz w:val="20"/>
        </w:rPr>
        <w:t xml:space="preserve">  |  Digital Marketing Lead – Strategy, Growth &amp; APJC Programs</w:t>
      </w:r>
      <w:r>
        <w:rPr>
          <w:rFonts w:ascii="Calibri" w:hAnsi="Calibri"/>
          <w:b w:val="0"/>
          <w:i/>
          <w:color w:val="555555"/>
          <w:sz w:val="18"/>
        </w:rPr>
        <w:tab/>
        <w:t>Feb 2011 – Apr 2024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integrated marketing strategy across </w:t>
      </w:r>
      <w:r>
        <w:rPr>
          <w:rFonts w:ascii="Calibri" w:hAnsi="Calibri"/>
          <w:b/>
          <w:i w:val="0"/>
          <w:color w:val="333333"/>
          <w:sz w:val="20"/>
        </w:rPr>
        <w:t>14+ APJC markets</w:t>
      </w:r>
      <w:r>
        <w:rPr>
          <w:rFonts w:ascii="Calibri" w:hAnsi="Calibri"/>
          <w:b w:val="0"/>
          <w:i w:val="0"/>
          <w:color w:val="333333"/>
          <w:sz w:val="20"/>
        </w:rPr>
        <w:t>, spanning brand, digital, demand generation, and regional field marketing.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Managed </w:t>
      </w:r>
      <w:r>
        <w:rPr>
          <w:rFonts w:ascii="Calibri" w:hAnsi="Calibri"/>
          <w:b/>
          <w:i w:val="0"/>
          <w:color w:val="333333"/>
          <w:sz w:val="20"/>
        </w:rPr>
        <w:t>$4M+ annual marketing investment</w:t>
      </w:r>
      <w:r>
        <w:rPr>
          <w:rFonts w:ascii="Calibri" w:hAnsi="Calibri"/>
          <w:b w:val="0"/>
          <w:i w:val="0"/>
          <w:color w:val="333333"/>
          <w:sz w:val="20"/>
        </w:rPr>
        <w:t xml:space="preserve"> across paid media, digital, social, content, and event programs; directed agency partners including Mindshare, GroupM, Dentsu, Publicis, Omnicom, and Neo.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Established and governed Cisco India's social media ecosystem and enterprise website (Cisco WEM), including editorial governance across web, blog, and campaigns.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corporate and product brand campaigns across APJC, improving </w:t>
      </w:r>
      <w:r>
        <w:rPr>
          <w:rFonts w:ascii="Calibri" w:hAnsi="Calibri"/>
          <w:b/>
          <w:i w:val="0"/>
          <w:color w:val="333333"/>
          <w:sz w:val="20"/>
        </w:rPr>
        <w:t>brand recall by 9%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</w:t>
      </w:r>
      <w:r>
        <w:rPr>
          <w:rFonts w:ascii="Calibri" w:hAnsi="Calibri"/>
          <w:b/>
          <w:i w:val="0"/>
          <w:color w:val="333333"/>
          <w:sz w:val="20"/>
        </w:rPr>
        <w:t>brand consideration by 2.5 points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Directed executive engagement programs including industry conferences, executive roundtables, and regional customer events.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Built executive dashboards and marketing measurement frameworks, improving attribution visibility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 xml:space="preserve">Led and developed a team of </w:t>
      </w:r>
      <w:r>
        <w:rPr>
          <w:rFonts w:ascii="Calibri" w:hAnsi="Calibri"/>
          <w:b/>
          <w:i w:val="0"/>
          <w:color w:val="333333"/>
          <w:sz w:val="20"/>
        </w:rPr>
        <w:t>5 marketing professionals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agency partners; recognized with the Cisco CMO Award, Cisco Partner Recognition Award, and Cisco Marketing Best Practice Award.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PROJECTS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Corporate Brand Campaigns: </w:t>
      </w:r>
      <w:r>
        <w:rPr>
          <w:rFonts w:ascii="Calibri" w:hAnsi="Calibri"/>
          <w:b w:val="0"/>
          <w:i w:val="0"/>
          <w:color w:val="333333"/>
          <w:sz w:val="20"/>
        </w:rPr>
        <w:t xml:space="preserve">Led integrated corporate and product brand campaigns across APJC, improving </w:t>
      </w:r>
      <w:r>
        <w:rPr>
          <w:rFonts w:ascii="Calibri" w:hAnsi="Calibri"/>
          <w:b/>
          <w:i w:val="0"/>
          <w:color w:val="333333"/>
          <w:sz w:val="20"/>
        </w:rPr>
        <w:t>brand recall by 9%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</w:t>
      </w:r>
      <w:r>
        <w:rPr>
          <w:rFonts w:ascii="Calibri" w:hAnsi="Calibri"/>
          <w:b/>
          <w:i w:val="0"/>
          <w:color w:val="333333"/>
          <w:sz w:val="20"/>
        </w:rPr>
        <w:t>brand consideration by 2.5 points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Enterprise Demand Engine: </w:t>
      </w:r>
      <w:r>
        <w:rPr>
          <w:rFonts w:ascii="Calibri" w:hAnsi="Calibri"/>
          <w:b w:val="0"/>
          <w:i w:val="0"/>
          <w:color w:val="333333"/>
          <w:sz w:val="20"/>
        </w:rPr>
        <w:t xml:space="preserve">Built scalable ABM and demand generation programs, increasing qualified pipeline by </w:t>
      </w:r>
      <w:r>
        <w:rPr>
          <w:rFonts w:ascii="Calibri" w:hAnsi="Calibri"/>
          <w:b/>
          <w:i w:val="0"/>
          <w:color w:val="333333"/>
          <w:sz w:val="20"/>
        </w:rPr>
        <w:t>25%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generating </w:t>
      </w:r>
      <w:r>
        <w:rPr>
          <w:rFonts w:ascii="Calibri" w:hAnsi="Calibri"/>
          <w:b/>
          <w:i w:val="0"/>
          <w:color w:val="333333"/>
          <w:sz w:val="20"/>
        </w:rPr>
        <w:t>400+ qualified opportunities annually</w:t>
      </w:r>
      <w:r>
        <w:rPr>
          <w:rFonts w:ascii="Calibri" w:hAnsi="Calibri"/>
          <w:b w:val="0"/>
          <w:i w:val="0"/>
          <w:color w:val="333333"/>
          <w:sz w:val="20"/>
        </w:rPr>
        <w:t>.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B2B Ecommerce: </w:t>
      </w:r>
      <w:r>
        <w:rPr>
          <w:rFonts w:ascii="Calibri" w:hAnsi="Calibri"/>
          <w:b w:val="0"/>
          <w:i w:val="0"/>
          <w:color w:val="333333"/>
          <w:sz w:val="20"/>
        </w:rPr>
        <w:t xml:space="preserve">Led GTM and customer acquisition strategy for a B2B ecommerce marketplace launch, generating </w:t>
      </w:r>
      <w:r>
        <w:rPr>
          <w:rFonts w:ascii="Calibri" w:hAnsi="Calibri"/>
          <w:b/>
          <w:i w:val="0"/>
          <w:color w:val="333333"/>
          <w:sz w:val="20"/>
        </w:rPr>
        <w:t>$120K in revenue</w:t>
      </w:r>
      <w:r>
        <w:rPr>
          <w:rFonts w:ascii="Calibri" w:hAnsi="Calibri"/>
          <w:b w:val="0"/>
          <w:i w:val="0"/>
          <w:color w:val="333333"/>
          <w:sz w:val="20"/>
        </w:rPr>
        <w:t xml:space="preserve"> and acquiring </w:t>
      </w:r>
      <w:r>
        <w:rPr>
          <w:rFonts w:ascii="Calibri" w:hAnsi="Calibri"/>
          <w:b/>
          <w:i w:val="0"/>
          <w:color w:val="333333"/>
          <w:sz w:val="20"/>
        </w:rPr>
        <w:t>6,000+ users</w:t>
      </w:r>
      <w:r>
        <w:rPr>
          <w:rFonts w:ascii="Calibri" w:hAnsi="Calibri"/>
          <w:b w:val="0"/>
          <w:i w:val="0"/>
          <w:color w:val="333333"/>
          <w:sz w:val="20"/>
        </w:rPr>
        <w:t xml:space="preserve"> from zero to scale.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Partner &amp; Channel Marketing: </w:t>
      </w:r>
      <w:r>
        <w:rPr>
          <w:rFonts w:ascii="Calibri" w:hAnsi="Calibri"/>
          <w:b w:val="0"/>
          <w:i w:val="0"/>
          <w:color w:val="333333"/>
          <w:sz w:val="20"/>
        </w:rPr>
        <w:t xml:space="preserve">Led joint GTM and co-marketing programs with strategic distribution partners including </w:t>
      </w:r>
      <w:r>
        <w:rPr>
          <w:rFonts w:ascii="Calibri" w:hAnsi="Calibri"/>
          <w:b/>
          <w:i w:val="0"/>
          <w:color w:val="333333"/>
          <w:sz w:val="20"/>
        </w:rPr>
        <w:t>Redington, Compuage, and Ingram Micro</w:t>
      </w:r>
      <w:r>
        <w:rPr>
          <w:rFonts w:ascii="Calibri" w:hAnsi="Calibri"/>
          <w:b w:val="0"/>
          <w:i w:val="0"/>
          <w:color w:val="333333"/>
          <w:sz w:val="20"/>
        </w:rPr>
        <w:t>, strengthening regional channel reach.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EARLIER EXPERIENCE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Network18 Media Ltd</w:t>
      </w:r>
      <w:r>
        <w:rPr>
          <w:rFonts w:ascii="Calibri" w:hAnsi="Calibri"/>
          <w:b w:val="0"/>
          <w:i/>
          <w:color w:val="555555"/>
          <w:sz w:val="20"/>
        </w:rPr>
        <w:t xml:space="preserve">  |  Integrated Marketing &amp; Media Manager</w:t>
      </w:r>
      <w:r>
        <w:rPr>
          <w:rFonts w:ascii="Calibri" w:hAnsi="Calibri"/>
          <w:b w:val="0"/>
          <w:i/>
          <w:color w:val="555555"/>
          <w:sz w:val="18"/>
        </w:rPr>
        <w:tab/>
        <w:t>2009 – 2011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Supported integrated marketing and media planning across digital and traditional channels to drive audience growth.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Executed campaign management and consumer engagement initiatives supporting sponsorships and audience acquisition.</w:t>
      </w:r>
    </w:p>
    <w:p>
      <w:pPr>
        <w:tabs>
          <w:tab w:pos="10800" w:val="right"/>
        </w:tabs>
        <w:spacing w:before="130" w:after="30" w:line="240" w:lineRule="auto"/>
      </w:pPr>
      <w:r>
        <w:rPr>
          <w:rFonts w:ascii="Calibri" w:hAnsi="Calibri"/>
          <w:b/>
          <w:i w:val="0"/>
          <w:color w:val="1F3864"/>
          <w:sz w:val="22"/>
        </w:rPr>
        <w:t>Bennett Coleman &amp; Co Ltd (Times of India)</w:t>
      </w:r>
      <w:r>
        <w:rPr>
          <w:rFonts w:ascii="Calibri" w:hAnsi="Calibri"/>
          <w:b w:val="0"/>
          <w:i/>
          <w:color w:val="555555"/>
          <w:sz w:val="20"/>
        </w:rPr>
        <w:t xml:space="preserve">  |  Marketing &amp; Campaign Management</w:t>
      </w:r>
      <w:r>
        <w:rPr>
          <w:rFonts w:ascii="Calibri" w:hAnsi="Calibri"/>
          <w:b w:val="0"/>
          <w:i/>
          <w:color w:val="555555"/>
          <w:sz w:val="18"/>
        </w:rPr>
        <w:tab/>
        <w:t>2003 – 2008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Supported multi-channel marketing and campaign execution across media coordination and customer engagement initiatives.</w:t>
      </w:r>
    </w:p>
    <w:p>
      <w:pPr>
        <w:pStyle w:val="ListBullet"/>
        <w:spacing w:before="0" w:after="30" w:line="240" w:lineRule="auto"/>
        <w:ind w:left="274" w:hanging="274"/>
      </w:pPr>
      <w:r>
        <w:rPr>
          <w:rFonts w:ascii="Calibri" w:hAnsi="Calibri"/>
          <w:b w:val="0"/>
          <w:i w:val="0"/>
          <w:color w:val="333333"/>
          <w:sz w:val="20"/>
        </w:rPr>
        <w:t>Coordinated campaign reporting and stakeholder communication across marketing and media partners.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TECHNOLOGY PROFICIENCY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Marketing Technology: </w:t>
      </w:r>
      <w:r>
        <w:rPr>
          <w:rFonts w:ascii="Calibri" w:hAnsi="Calibri"/>
          <w:b w:val="0"/>
          <w:i w:val="0"/>
          <w:color w:val="333333"/>
          <w:sz w:val="20"/>
        </w:rPr>
        <w:t>Salesforce CRM | Oracle Eloqua | Marketo Engage | HubSpot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Digital &amp; Analytics: </w:t>
      </w:r>
      <w:r>
        <w:rPr>
          <w:rFonts w:ascii="Calibri" w:hAnsi="Calibri"/>
          <w:b w:val="0"/>
          <w:i w:val="0"/>
          <w:color w:val="333333"/>
          <w:sz w:val="20"/>
        </w:rPr>
        <w:t>Google Analytics 4 (GA4) | Adobe Analytics | Google Search Console | Tableau | Domo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Paid &amp; Programmatic: </w:t>
      </w:r>
      <w:r>
        <w:rPr>
          <w:rFonts w:ascii="Calibri" w:hAnsi="Calibri"/>
          <w:b w:val="0"/>
          <w:i w:val="0"/>
          <w:color w:val="333333"/>
          <w:sz w:val="20"/>
        </w:rPr>
        <w:t>Google Ads | Meta Ads | LinkedIn Campaign Manager | DV360 | Campaign Manager 360 | YouTube Ads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ABM &amp; Collaboration: </w:t>
      </w:r>
      <w:r>
        <w:rPr>
          <w:rFonts w:ascii="Calibri" w:hAnsi="Calibri"/>
          <w:b w:val="0"/>
          <w:i w:val="0"/>
          <w:color w:val="333333"/>
          <w:sz w:val="20"/>
        </w:rPr>
        <w:t>Demandbase | 6sense | Jira | Asana | Slack | Miro | SharePoint</w:t>
      </w:r>
    </w:p>
    <w:p>
      <w:pPr>
        <w:spacing w:before="0" w:after="70" w:line="240" w:lineRule="auto"/>
      </w:pPr>
      <w:r>
        <w:rPr>
          <w:rFonts w:ascii="Calibri" w:hAnsi="Calibri"/>
          <w:b/>
          <w:i w:val="0"/>
          <w:color w:val="1F3864"/>
          <w:sz w:val="20"/>
        </w:rPr>
        <w:t xml:space="preserve">Website &amp; AI: </w:t>
      </w:r>
      <w:r>
        <w:rPr>
          <w:rFonts w:ascii="Calibri" w:hAnsi="Calibri"/>
          <w:b w:val="0"/>
          <w:i w:val="0"/>
          <w:color w:val="333333"/>
          <w:sz w:val="20"/>
        </w:rPr>
        <w:t>Adobe Experience Manager (AEM) | Cisco WEM | ChatGPT | Claude | n8n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CERTIFICATIONS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Artificial Intelligence Applications for Business Leaders</w:t>
      </w:r>
    </w:p>
    <w:p>
      <w:pPr>
        <w:spacing w:before="0" w:after="70" w:line="240" w:lineRule="auto"/>
      </w:pPr>
      <w:r>
        <w:rPr>
          <w:rFonts w:ascii="Calibri" w:hAnsi="Calibri"/>
          <w:b w:val="0"/>
          <w:i/>
          <w:color w:val="555555"/>
          <w:sz w:val="20"/>
        </w:rPr>
        <w:t>Skill India – Government of India | Mar 2026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Google Marketing Platform Certification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555555"/>
          <w:sz w:val="20"/>
        </w:rPr>
        <w:t>Google</w:t>
      </w:r>
    </w:p>
    <w:p>
      <w:pPr>
        <w:spacing w:before="130" w:after="60" w:line="240" w:lineRule="auto"/>
        <w:pBdr>
          <w:bottom w:val="single" w:sz="6" w:space="3" w:color="1F3864"/>
        </w:pBdr>
      </w:pPr>
      <w:r>
        <w:rPr>
          <w:rFonts w:ascii="Calibri" w:hAnsi="Calibri"/>
          <w:b/>
          <w:i w:val="0"/>
          <w:color w:val="1F3864"/>
          <w:sz w:val="21"/>
        </w:rPr>
        <w:t>EDUCATION</w:t>
      </w:r>
    </w:p>
    <w:p>
      <w:pPr>
        <w:spacing w:before="0" w:after="30" w:line="240" w:lineRule="auto"/>
      </w:pPr>
      <w:r>
        <w:rPr>
          <w:rFonts w:ascii="Calibri" w:hAnsi="Calibri"/>
          <w:b/>
          <w:i w:val="0"/>
          <w:color w:val="333333"/>
          <w:sz w:val="20"/>
        </w:rPr>
        <w:t>Masters in Business Administration (MBA) – Marketing &amp; Finance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555555"/>
          <w:sz w:val="20"/>
        </w:rPr>
        <w:t>Army College of Materials Management, Jabalpur, India</w:t>
      </w:r>
    </w:p>
    <w:sectPr w:rsidR="00FC693F" w:rsidRPr="0006063C" w:rsidSect="00034616">
      <w:pgSz w:w="12240" w:h="15840"/>
      <w:pgMar w:top="504" w:right="720" w:bottom="50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