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PERFORMANCE MARKETING | CONVERSION OPTIMIZATION, ROI &amp; MARKETING ANALYTICS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555555"/>
          <w:sz w:val="18"/>
        </w:rPr>
        <w:t>Open to Relocation  |  Open to Remote Opportunities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Performance marketing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, including </w:t>
      </w:r>
      <w:r>
        <w:rPr>
          <w:rFonts w:ascii="Calibri" w:hAnsi="Calibri"/>
          <w:b/>
          <w:i w:val="0"/>
          <w:color w:val="333333"/>
          <w:sz w:val="20"/>
        </w:rPr>
        <w:t>15 years in dedicated performance marketing and analytics leadership</w:t>
      </w:r>
      <w:r>
        <w:rPr>
          <w:rFonts w:ascii="Calibri" w:hAnsi="Calibri"/>
          <w:b w:val="0"/>
          <w:i w:val="0"/>
          <w:color w:val="333333"/>
          <w:sz w:val="20"/>
        </w:rPr>
        <w:t xml:space="preserve">, driving </w:t>
      </w:r>
      <w:r>
        <w:rPr>
          <w:rFonts w:ascii="Calibri" w:hAnsi="Calibri"/>
          <w:b/>
          <w:i w:val="0"/>
          <w:color w:val="333333"/>
          <w:sz w:val="20"/>
        </w:rPr>
        <w:t>conversion optimization, marketing attribution, and ROI-led decision-making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technology organizations. Proven track record improving </w:t>
      </w:r>
      <w:r>
        <w:rPr>
          <w:rFonts w:ascii="Calibri" w:hAnsi="Calibri"/>
          <w:b/>
          <w:i w:val="0"/>
          <w:color w:val="333333"/>
          <w:sz w:val="20"/>
        </w:rPr>
        <w:t>media efficiency, executive dashboarding, and revenue-aligned investment</w:t>
      </w:r>
      <w:r>
        <w:rPr>
          <w:rFonts w:ascii="Calibri" w:hAnsi="Calibri"/>
          <w:b w:val="0"/>
          <w:i w:val="0"/>
          <w:color w:val="333333"/>
          <w:sz w:val="20"/>
        </w:rPr>
        <w:t xml:space="preserve"> to deliver measurable </w:t>
      </w:r>
      <w:r>
        <w:rPr>
          <w:rFonts w:ascii="Calibri" w:hAnsi="Calibri"/>
          <w:b/>
          <w:i w:val="0"/>
          <w:color w:val="333333"/>
          <w:sz w:val="20"/>
        </w:rPr>
        <w:t>business outcomes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Performance Marketing Strategy  •  Conversion Rate Optimization (CRO)  •  Marketing Attribution  •  A/B &amp; Multivariate Testing  •  Campaign &amp; Bid Optimization  •  Paid Search &amp; Paid Social  •  Marketing Analytics &amp; Reporting  •  Executive Dashboard Development  •  Data-Driven Decision Making  •  Customer Acquisition  •  Audience Optimization  •  Revenue &amp; ROI Optimization  •  Budget &amp; Media Efficiency Management  •  Business Intelligence  •  GTM Strategy  •  AI-Enabled Marketing Analytics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marketing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performance-led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</w:t>
      </w:r>
      <w:r>
        <w:rPr>
          <w:rFonts w:ascii="Calibri" w:hAnsi="Calibri"/>
          <w:b/>
          <w:i w:val="0"/>
          <w:color w:val="333333"/>
          <w:sz w:val="20"/>
        </w:rPr>
        <w:t>qualified conversions by 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testing and bid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Salesforce-powered executive dashboards.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Built standardized performance reporting frameworks spanning campaign, media, and pipeline data.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</w:t>
      </w:r>
      <w:r>
        <w:rPr>
          <w:rFonts w:ascii="Calibri" w:hAnsi="Calibri"/>
          <w:b/>
          <w:i w:val="0"/>
          <w:color w:val="333333"/>
          <w:sz w:val="20"/>
        </w:rPr>
        <w:t>qualified pipeline by 25%</w:t>
      </w:r>
      <w:r>
        <w:rPr>
          <w:rFonts w:ascii="Calibri" w:hAnsi="Calibri"/>
          <w:b w:val="0"/>
          <w:i w:val="0"/>
          <w:color w:val="333333"/>
          <w:sz w:val="20"/>
        </w:rPr>
        <w:t>, translating marketing performance into measurable revenue contribution.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performance reporting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AI-enabled analytics automation.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Manager – Global Growth, Strategy &amp; GTM Operations</w:t>
      </w:r>
      <w:r>
        <w:rPr>
          <w:rFonts w:ascii="Calibri" w:hAnsi="Calibri"/>
          <w:b w:val="0"/>
          <w:i/>
          <w:color w:val="555555"/>
          <w:sz w:val="18"/>
        </w:rPr>
        <w:tab/>
        <w:t>Jul 2024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 </w:t>
      </w:r>
      <w:r>
        <w:rPr>
          <w:rFonts w:ascii="Calibri" w:hAnsi="Calibri"/>
          <w:b/>
          <w:i w:val="0"/>
          <w:color w:val="333333"/>
          <w:sz w:val="20"/>
        </w:rPr>
        <w:t>performance marketing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India and the broader APJC region, aligning media and campaign investment with ROI targets.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Lead conversion optimization and testing programs across paid and digital channels.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marketing analytics, attribution, and executive dashboard development.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reducing CPA by </w:t>
      </w:r>
      <w:r>
        <w:rPr>
          <w:rFonts w:ascii="Calibri" w:hAnsi="Calibri"/>
          <w:b/>
          <w:i w:val="0"/>
          <w:color w:val="333333"/>
          <w:sz w:val="20"/>
        </w:rPr>
        <w:t>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experimentation and audience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 with Sales and Finance to translate marketing performance into pipeline and revenue impact.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AI adoption across performance marketing analytics and reporting workflows.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</w:t>
      </w:r>
      <w:r>
        <w:rPr>
          <w:rFonts w:ascii="Calibri" w:hAnsi="Calibri"/>
          <w:b w:val="0"/>
          <w:i/>
          <w:color w:val="555555"/>
          <w:sz w:val="20"/>
        </w:rPr>
        <w:t xml:space="preserve">  |  Digital Marketing Lead – Strategy, Growth &amp; APJC Programs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performance marketing and media optimization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>, spanning search, social, programmatic, video, and mobile.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marketing investment</w:t>
      </w:r>
      <w:r>
        <w:rPr>
          <w:rFonts w:ascii="Calibri" w:hAnsi="Calibri"/>
          <w:b w:val="0"/>
          <w:i w:val="0"/>
          <w:color w:val="333333"/>
          <w:sz w:val="20"/>
        </w:rPr>
        <w:t xml:space="preserve">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performance governance.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CPA/CAC by </w:t>
      </w:r>
      <w:r>
        <w:rPr>
          <w:rFonts w:ascii="Calibri" w:hAnsi="Calibri"/>
          <w:b/>
          <w:i w:val="0"/>
          <w:color w:val="333333"/>
          <w:sz w:val="20"/>
        </w:rPr>
        <w:t>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testing, targeting, and bid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Modernized marketing measurement through GA4 and Salesforce integration,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Built executive dashboards standardizing performance reporting across campaign, media, and pipeline data.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Partnered with Sales and Regional leadership to align performance marketing with revenue priorities.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A/B testing and landing page optimization programs to improve conversion efficiency across the funnel.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Measurement Framework: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standardized executive dashboards spanning campaign, media, website, and pipeline reporting, improving </w:t>
      </w:r>
      <w:r>
        <w:rPr>
          <w:rFonts w:ascii="Calibri" w:hAnsi="Calibri"/>
          <w:b/>
          <w:i w:val="0"/>
          <w:color w:val="333333"/>
          <w:sz w:val="20"/>
        </w:rPr>
        <w:t>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Media Portfolio Optimization: </w:t>
      </w:r>
      <w:r>
        <w:rPr>
          <w:rFonts w:ascii="Calibri" w:hAnsi="Calibri"/>
          <w:b w:val="0"/>
          <w:i w:val="0"/>
          <w:color w:val="333333"/>
          <w:sz w:val="20"/>
        </w:rPr>
        <w:t xml:space="preserve">Delivered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reduced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performance-led governance across a $4M+ media portfolio.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performance-driven acquisition strategy for a B2B ecommerce marketplace launch, generating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Media Manager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integrated marketing and media planning across digital and traditional channels to drive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Executed campaign management and consumer engagement initiatives supporting sponsorships and audience acquisition.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&amp; Campaign Management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multi-channel marketing and campaign execution across media coordination and customer engagement initiatives.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Coordinated campaign reporting and stakeholder communication across marketing and media partners.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Analytics &amp; BI: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Tableau | Domo | Looker Studio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Programmatic: </w:t>
      </w:r>
      <w:r>
        <w:rPr>
          <w:rFonts w:ascii="Calibri" w:hAnsi="Calibri"/>
          <w:b w:val="0"/>
          <w:i w:val="0"/>
          <w:color w:val="333333"/>
          <w:sz w:val="20"/>
        </w:rPr>
        <w:t>Google Ads | Meta Ads | LinkedIn Campaign Manager | DV360 | Campaign Manager 360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CRM &amp; Marketing Automation: </w:t>
      </w:r>
      <w:r>
        <w:rPr>
          <w:rFonts w:ascii="Calibri" w:hAnsi="Calibri"/>
          <w:b w:val="0"/>
          <w:i w:val="0"/>
          <w:color w:val="333333"/>
          <w:sz w:val="20"/>
        </w:rPr>
        <w:t>Salesforce CRM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Skill India – Government of India | Mar 2026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