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936"/>
            <w:shd w:fill="070B19"/>
            <w:tcMar>
              <w:top w:w="260" w:type="dxa"/>
              <w:bottom w:w="260" w:type="dxa"/>
              <w:left w:w="240" w:type="dxa"/>
              <w:right w:w="240" w:type="dxa"/>
            </w:tcMar>
          </w:tcPr>
          <w:p>
            <w:pPr>
              <w:spacing w:before="80" w:after="40"/>
            </w:pPr>
            <w:r>
              <w:rPr>
                <w:rFonts w:ascii="Calibri" w:hAnsi="Calibri"/>
                <w:b/>
                <w:color w:val="38BDF8"/>
                <w:sz w:val="20"/>
              </w:rPr>
              <w:t>BENGALURU MULTIMODAL TRANSIT INTELLIGENCE</w:t>
              <w:br/>
            </w:r>
            <w:r>
              <w:rPr>
                <w:rFonts w:ascii="Calibri" w:hAnsi="Calibri"/>
                <w:b/>
                <w:color w:val="FFFFFF"/>
                <w:sz w:val="56"/>
              </w:rPr>
              <w:t>🚀 NAMMA TRAVEL</w:t>
              <w:br/>
            </w:r>
            <w:r>
              <w:rPr>
                <w:rFonts w:ascii="Calibri" w:hAnsi="Calibri"/>
                <w:color w:val="C084FC"/>
                <w:sz w:val="26"/>
              </w:rPr>
              <w:t>Autonomous AI Commute Strategist &amp; Cross-Platform Mobile App</w:t>
              <w:br/>
            </w:r>
            <w:r>
              <w:rPr>
                <w:rFonts w:ascii="Calibri" w:hAnsi="Calibri"/>
                <w:color w:val="94A3B8"/>
                <w:sz w:val="19"/>
              </w:rPr>
              <w:t>Powered by Google Gemini 2.5 Flash GenAI SDK • Android Play Store (.aab) &amp; Apple iOS Capacitor • Dual Gmail SSO &amp; Mobile +91 OTP Authentication • Real-Time Bengaluru Bottleneck Bypass</w:t>
            </w:r>
          </w:p>
        </w:tc>
      </w:tr>
    </w:tbl>
    <w:p>
      <w:pPr>
        <w:spacing w:after="200"/>
      </w:pPr>
    </w:p>
    <w:tbl>
      <w:tblPr>
        <w:tblW w:type="auto" w:w="0"/>
        <w:jc w:val="center"/>
        <w:tblLayout w:type="fixed"/>
        <w:tblLook w:firstColumn="1" w:firstRow="1" w:lastColumn="0" w:lastRow="0" w:noHBand="0" w:noVBand="1" w:val="04A0"/>
      </w:tblPr>
      <w:tblGrid>
        <w:gridCol w:w="3110"/>
        <w:gridCol w:w="3110"/>
        <w:gridCol w:w="3110"/>
      </w:tblGrid>
      <w:tr>
        <w:tc>
          <w:tcPr>
            <w:tcW w:type="dxa" w:w="3312"/>
            <w:shd w:fill="0F172A"/>
            <w:tcMar>
              <w:top w:w="70" w:type="dxa"/>
              <w:bottom w:w="70" w:type="dxa"/>
              <w:left w:w="90" w:type="dxa"/>
              <w:right w:w="90" w:type="dxa"/>
            </w:tcMar>
          </w:tcPr>
          <w:p>
            <w:pPr>
              <w:jc w:val="center"/>
            </w:pPr>
            <w:r>
              <w:rPr>
                <w:b/>
                <w:color w:val="38BDF8"/>
                <w:sz w:val="16"/>
              </w:rPr>
              <w:t>AI REASONING CORE</w:t>
            </w:r>
          </w:p>
        </w:tc>
        <w:tc>
          <w:tcPr>
            <w:tcW w:type="dxa" w:w="3312"/>
            <w:shd w:fill="0F172A"/>
            <w:tcMar>
              <w:top w:w="70" w:type="dxa"/>
              <w:bottom w:w="70" w:type="dxa"/>
              <w:left w:w="90" w:type="dxa"/>
              <w:right w:w="90" w:type="dxa"/>
            </w:tcMar>
          </w:tcPr>
          <w:p>
            <w:pPr>
              <w:jc w:val="center"/>
            </w:pPr>
            <w:r>
              <w:rPr>
                <w:b/>
                <w:color w:val="38BDF8"/>
                <w:sz w:val="16"/>
              </w:rPr>
              <w:t>MOBILE DEPLOYMENT</w:t>
            </w:r>
          </w:p>
        </w:tc>
        <w:tc>
          <w:tcPr>
            <w:tcW w:type="dxa" w:w="3312"/>
            <w:shd w:fill="0F172A"/>
            <w:tcMar>
              <w:top w:w="70" w:type="dxa"/>
              <w:bottom w:w="70" w:type="dxa"/>
              <w:left w:w="90" w:type="dxa"/>
              <w:right w:w="90" w:type="dxa"/>
            </w:tcMar>
          </w:tcPr>
          <w:p>
            <w:pPr>
              <w:jc w:val="center"/>
            </w:pPr>
            <w:r>
              <w:rPr>
                <w:b/>
                <w:color w:val="38BDF8"/>
                <w:sz w:val="16"/>
              </w:rPr>
              <w:t>USER AUTHENTICATION</w:t>
            </w:r>
          </w:p>
        </w:tc>
      </w:tr>
      <w:tr>
        <w:tc>
          <w:tcPr>
            <w:tcW w:type="dxa" w:w="3312"/>
            <w:shd w:fill="1E293B"/>
            <w:tcMar>
              <w:top w:w="70" w:type="dxa"/>
              <w:bottom w:w="70" w:type="dxa"/>
              <w:left w:w="90" w:type="dxa"/>
              <w:right w:w="90" w:type="dxa"/>
            </w:tcMar>
          </w:tcPr>
          <w:p>
            <w:pPr>
              <w:jc w:val="center"/>
            </w:pPr>
            <w:r>
              <w:rPr>
                <w:b/>
                <w:color w:val="FFFFFF"/>
                <w:sz w:val="17"/>
              </w:rPr>
              <w:t>Google Gemini 2.5 Flash</w:t>
            </w:r>
          </w:p>
        </w:tc>
        <w:tc>
          <w:tcPr>
            <w:tcW w:type="dxa" w:w="3312"/>
            <w:shd w:fill="1E293B"/>
            <w:tcMar>
              <w:top w:w="70" w:type="dxa"/>
              <w:bottom w:w="70" w:type="dxa"/>
              <w:left w:w="90" w:type="dxa"/>
              <w:right w:w="90" w:type="dxa"/>
            </w:tcMar>
          </w:tcPr>
          <w:p>
            <w:pPr>
              <w:jc w:val="center"/>
            </w:pPr>
            <w:r>
              <w:rPr>
                <w:b/>
                <w:color w:val="FFFFFF"/>
                <w:sz w:val="17"/>
              </w:rPr>
              <w:t>Android Play Store &amp; iOS</w:t>
            </w:r>
          </w:p>
        </w:tc>
        <w:tc>
          <w:tcPr>
            <w:tcW w:type="dxa" w:w="3312"/>
            <w:shd w:fill="1E293B"/>
            <w:tcMar>
              <w:top w:w="70" w:type="dxa"/>
              <w:bottom w:w="70" w:type="dxa"/>
              <w:left w:w="90" w:type="dxa"/>
              <w:right w:w="90" w:type="dxa"/>
            </w:tcMar>
          </w:tcPr>
          <w:p>
            <w:pPr>
              <w:jc w:val="center"/>
            </w:pPr>
            <w:r>
              <w:rPr>
                <w:b/>
                <w:color w:val="FFFFFF"/>
                <w:sz w:val="17"/>
              </w:rPr>
              <w:t>Gmail OAuth + Mobile OTP</w:t>
            </w:r>
          </w:p>
        </w:tc>
      </w:tr>
    </w:tbl>
    <w:p>
      <w:pPr>
        <w:spacing w:after="240"/>
      </w:pPr>
    </w:p>
    <w:p>
      <w:pPr>
        <w:spacing w:before="280" w:after="80"/>
      </w:pPr>
      <w:r>
        <w:rPr>
          <w:rFonts w:ascii="Calibri" w:hAnsi="Calibri"/>
          <w:b/>
          <w:color w:val="0F172A"/>
          <w:sz w:val="32"/>
        </w:rPr>
        <w:t>1. The Bengaluru Urban Crisis &amp; The AI Imperative</w:t>
      </w:r>
    </w:p>
    <w:p>
      <w:r>
        <w:t>Bengaluru commuters spend an average of 2.5 hours every single day locked in gridlock along the tech corridors of Outer Ring Road, Silk Board, Tin Factory, and Whitefield. This paralysis inflicts an estimated annual productivity loss of ₹19,700 Crores on Karnataka's IT hub. Existing navigation systems act purely as reactive speedometers—alerting commuters only when they are already stranded in bumper-to-bumper delays.</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Borders>
              <w:top w:val="none"/>
              <w:left w:val="single" w:sz="28" w:space="0" w:color="38BDF8"/>
              <w:bottom w:val="none"/>
              <w:right w:val="none"/>
            </w:tcBorders>
          </w:tcPr>
          <w:p>
            <w:pPr>
              <w:spacing w:before="40" w:after="60"/>
            </w:pPr>
            <w:r>
              <w:rPr>
                <w:rFonts w:ascii="Calibri" w:hAnsi="Calibri"/>
                <w:b/>
                <w:color w:val="38BDF8"/>
                <w:sz w:val="22"/>
              </w:rPr>
              <w:t>⚡ The Namma Travel Paradigm Shift</w:t>
              <w:br/>
            </w:r>
            <w:r>
              <w:rPr>
                <w:rFonts w:ascii="Calibri" w:hAnsi="Calibri"/>
                <w:color w:val="E2E8F0"/>
                <w:sz w:val="19"/>
              </w:rPr>
              <w:t>Namma Travel transforms commute planning from passive mapping to proactive, multimodal strategy. By fusing Google Gemini 2.5 Flash reasoning with local corridor intelligence, the agent dynamically recommends optimal departure windows, prevents ₹700+ surge cab rip-offs, and routes users onto Namma Metro and BMTC Volvo lines.</w:t>
            </w:r>
          </w:p>
        </w:tc>
      </w:tr>
    </w:tbl>
    <w:p>
      <w:pPr>
        <w:spacing w:after="120"/>
      </w:pPr>
    </w:p>
    <w:p>
      <w:pPr>
        <w:spacing w:before="280" w:after="80"/>
      </w:pPr>
      <w:r>
        <w:rPr>
          <w:rFonts w:ascii="Calibri" w:hAnsi="Calibri"/>
          <w:b/>
          <w:color w:val="0F172A"/>
          <w:sz w:val="32"/>
        </w:rPr>
        <w:t>2. Namma Travel AI Agent Architecture &amp; Reasoning Flow</w:t>
      </w:r>
    </w:p>
    <w:p>
      <w:r>
        <w:t>The agent implements a two-tier execution engine: when network connectivity and API keys are available, it engages Google GenAI (Gemini 2.5 Flash) with dynamic tool schema declarations. In low-connectivity environments (such as subway stations), it immediately cascades to a deterministic local transit heuristics engine, guaranteeing 100% uninterrupted operation:</w:t>
      </w:r>
    </w:p>
    <w:p>
      <w:pPr>
        <w:jc w:val="center"/>
      </w:pPr>
    </w:p>
    <w:p>
      <w:r>
        <w:drawing>
          <wp:inline xmlns:a="http://schemas.openxmlformats.org/drawingml/2006/main" xmlns:pic="http://schemas.openxmlformats.org/drawingml/2006/picture">
            <wp:extent cx="5943600" cy="3069771"/>
            <wp:docPr id="1" name="Picture 1"/>
            <wp:cNvGraphicFramePr>
              <a:graphicFrameLocks noChangeAspect="1"/>
            </wp:cNvGraphicFramePr>
            <a:graphic>
              <a:graphicData uri="http://schemas.openxmlformats.org/drawingml/2006/picture">
                <pic:pic>
                  <pic:nvPicPr>
                    <pic:cNvPr id="0" name="ai_agent_architecture_cinematic.png"/>
                    <pic:cNvPicPr/>
                  </pic:nvPicPr>
                  <pic:blipFill>
                    <a:blip r:embed="rId11"/>
                    <a:stretch>
                      <a:fillRect/>
                    </a:stretch>
                  </pic:blipFill>
                  <pic:spPr>
                    <a:xfrm>
                      <a:off x="0" y="0"/>
                      <a:ext cx="5943600" cy="3069771"/>
                    </a:xfrm>
                    <a:prstGeom prst="rect"/>
                  </pic:spPr>
                </pic:pic>
              </a:graphicData>
            </a:graphic>
          </wp:inline>
        </w:drawing>
      </w:r>
    </w:p>
    <w:p>
      <w:pPr>
        <w:spacing w:after="200"/>
        <w:jc w:val="center"/>
      </w:pPr>
      <w:r>
        <w:rPr>
          <w:i/>
          <w:color w:val="64748B"/>
          <w:sz w:val="17"/>
        </w:rPr>
        <w:t>Figure 1: Autonomous AI Agent Architecture, Tool-Calling Loop, and Specialized Bengaluru Transit Satellites</w:t>
      </w:r>
    </w:p>
    <w:tbl>
      <w:tblPr>
        <w:tblW w:type="auto" w:w="0"/>
        <w:jc w:val="center"/>
        <w:tblLayout w:type="fixed"/>
        <w:tblLook w:firstColumn="1" w:firstRow="1" w:lastColumn="0" w:lastRow="0" w:noHBand="0" w:noVBand="1" w:val="04A0"/>
      </w:tblPr>
      <w:tblGrid>
        <w:gridCol w:w="2592"/>
        <w:gridCol w:w="3312"/>
        <w:gridCol w:w="3456"/>
      </w:tblGrid>
      <w:tr>
        <w:tc>
          <w:tcPr>
            <w:tcW w:type="dxa" w:w="3312"/>
            <w:shd w:fill="0F172A"/>
            <w:tcMar>
              <w:top w:w="70" w:type="dxa"/>
              <w:bottom w:w="70" w:type="dxa"/>
              <w:left w:w="90" w:type="dxa"/>
              <w:right w:w="90" w:type="dxa"/>
            </w:tcMar>
          </w:tcPr>
          <w:p>
            <w:pPr>
              <w:jc w:val="center"/>
            </w:pPr>
            <w:r>
              <w:rPr>
                <w:b/>
                <w:color w:val="38BDF8"/>
                <w:sz w:val="16"/>
              </w:rPr>
              <w:t>TRANSIT TOOL</w:t>
            </w:r>
          </w:p>
        </w:tc>
        <w:tc>
          <w:tcPr>
            <w:tcW w:type="dxa" w:w="3312"/>
            <w:shd w:fill="0F172A"/>
            <w:tcMar>
              <w:top w:w="70" w:type="dxa"/>
              <w:bottom w:w="70" w:type="dxa"/>
              <w:left w:w="90" w:type="dxa"/>
              <w:right w:w="90" w:type="dxa"/>
            </w:tcMar>
          </w:tcPr>
          <w:p>
            <w:pPr>
              <w:jc w:val="center"/>
            </w:pPr>
            <w:r>
              <w:rPr>
                <w:b/>
                <w:color w:val="38BDF8"/>
                <w:sz w:val="16"/>
              </w:rPr>
              <w:t>AGENT RESPONSIBILITY</w:t>
            </w:r>
          </w:p>
        </w:tc>
        <w:tc>
          <w:tcPr>
            <w:tcW w:type="dxa" w:w="3312"/>
            <w:shd w:fill="0F172A"/>
            <w:tcMar>
              <w:top w:w="70" w:type="dxa"/>
              <w:bottom w:w="70" w:type="dxa"/>
              <w:left w:w="90" w:type="dxa"/>
              <w:right w:w="90" w:type="dxa"/>
            </w:tcMar>
          </w:tcPr>
          <w:p>
            <w:pPr>
              <w:jc w:val="center"/>
            </w:pPr>
            <w:r>
              <w:rPr>
                <w:b/>
                <w:color w:val="38BDF8"/>
                <w:sz w:val="16"/>
              </w:rPr>
              <w:t>LOCAL CORRIDOR INTELLIGENCE</w:t>
            </w:r>
          </w:p>
        </w:tc>
      </w:tr>
      <w:tr>
        <w:tc>
          <w:tcPr>
            <w:tcW w:type="dxa" w:w="3312"/>
            <w:shd w:fill="FFFFFF"/>
            <w:tcMar>
              <w:top w:w="60" w:type="dxa"/>
              <w:bottom w:w="60" w:type="dxa"/>
              <w:left w:w="80" w:type="dxa"/>
              <w:right w:w="80" w:type="dxa"/>
            </w:tcMar>
          </w:tcPr>
          <w:p>
            <w:pPr>
              <w:jc w:val="left"/>
            </w:pPr>
            <w:r>
              <w:rPr>
                <w:b/>
                <w:color w:val="0F172A"/>
                <w:sz w:val="17"/>
              </w:rPr>
              <w:t>get_route_traffic()</w:t>
            </w:r>
          </w:p>
        </w:tc>
        <w:tc>
          <w:tcPr>
            <w:tcW w:type="dxa" w:w="3312"/>
            <w:shd w:fill="FFFFFF"/>
            <w:tcMar>
              <w:top w:w="60" w:type="dxa"/>
              <w:bottom w:w="60" w:type="dxa"/>
              <w:left w:w="80" w:type="dxa"/>
              <w:right w:w="80" w:type="dxa"/>
            </w:tcMar>
          </w:tcPr>
          <w:p>
            <w:pPr>
              <w:jc w:val="left"/>
            </w:pPr>
            <w:r>
              <w:rPr>
                <w:color w:val="0F172A"/>
                <w:sz w:val="17"/>
              </w:rPr>
              <w:t>Calculates live delays &amp; peak surge multipliers</w:t>
            </w:r>
          </w:p>
        </w:tc>
        <w:tc>
          <w:tcPr>
            <w:tcW w:type="dxa" w:w="3312"/>
            <w:shd w:fill="FFFFFF"/>
            <w:tcMar>
              <w:top w:w="60" w:type="dxa"/>
              <w:bottom w:w="60" w:type="dxa"/>
              <w:left w:w="80" w:type="dxa"/>
              <w:right w:w="80" w:type="dxa"/>
            </w:tcMar>
          </w:tcPr>
          <w:p>
            <w:pPr>
              <w:jc w:val="left"/>
            </w:pPr>
            <w:r>
              <w:rPr>
                <w:color w:val="0F172A"/>
                <w:sz w:val="17"/>
              </w:rPr>
              <w:t>Calibrated on 15 core tech hubs (Koramangala, Whitefield, Hebbal, E-City)</w:t>
            </w:r>
          </w:p>
        </w:tc>
      </w:tr>
      <w:tr>
        <w:tc>
          <w:tcPr>
            <w:tcW w:type="dxa" w:w="3312"/>
            <w:shd w:fill="F8FAFC"/>
            <w:tcMar>
              <w:top w:w="60" w:type="dxa"/>
              <w:bottom w:w="60" w:type="dxa"/>
              <w:left w:w="80" w:type="dxa"/>
              <w:right w:w="80" w:type="dxa"/>
            </w:tcMar>
          </w:tcPr>
          <w:p>
            <w:pPr>
              <w:jc w:val="left"/>
            </w:pPr>
            <w:r>
              <w:rPr>
                <w:b/>
                <w:color w:val="0F172A"/>
                <w:sz w:val="17"/>
              </w:rPr>
              <w:t>check_chokepoints()</w:t>
            </w:r>
          </w:p>
        </w:tc>
        <w:tc>
          <w:tcPr>
            <w:tcW w:type="dxa" w:w="3312"/>
            <w:shd w:fill="F8FAFC"/>
            <w:tcMar>
              <w:top w:w="60" w:type="dxa"/>
              <w:bottom w:w="60" w:type="dxa"/>
              <w:left w:w="80" w:type="dxa"/>
              <w:right w:w="80" w:type="dxa"/>
            </w:tcMar>
          </w:tcPr>
          <w:p>
            <w:pPr>
              <w:jc w:val="left"/>
            </w:pPr>
            <w:r>
              <w:rPr>
                <w:color w:val="0F172A"/>
                <w:sz w:val="17"/>
              </w:rPr>
              <w:t>Evaluates bottlenecks &amp; congestion severity</w:t>
            </w:r>
          </w:p>
        </w:tc>
        <w:tc>
          <w:tcPr>
            <w:tcW w:type="dxa" w:w="3312"/>
            <w:shd w:fill="F8FAFC"/>
            <w:tcMar>
              <w:top w:w="60" w:type="dxa"/>
              <w:bottom w:w="60" w:type="dxa"/>
              <w:left w:w="80" w:type="dxa"/>
              <w:right w:w="80" w:type="dxa"/>
            </w:tcMar>
          </w:tcPr>
          <w:p>
            <w:pPr>
              <w:jc w:val="left"/>
            </w:pPr>
            <w:r>
              <w:rPr>
                <w:color w:val="0F172A"/>
                <w:sz w:val="17"/>
              </w:rPr>
              <w:t>Real-time delay tracking for Silk Board, Tin Factory, Bellandur, Sony World</w:t>
            </w:r>
          </w:p>
        </w:tc>
      </w:tr>
      <w:tr>
        <w:tc>
          <w:tcPr>
            <w:tcW w:type="dxa" w:w="3312"/>
            <w:shd w:fill="FFFFFF"/>
            <w:tcMar>
              <w:top w:w="60" w:type="dxa"/>
              <w:bottom w:w="60" w:type="dxa"/>
              <w:left w:w="80" w:type="dxa"/>
              <w:right w:w="80" w:type="dxa"/>
            </w:tcMar>
          </w:tcPr>
          <w:p>
            <w:pPr>
              <w:jc w:val="left"/>
            </w:pPr>
            <w:r>
              <w:rPr>
                <w:b/>
                <w:color w:val="0F172A"/>
                <w:sz w:val="17"/>
              </w:rPr>
              <w:t>get_metro_alternative()</w:t>
            </w:r>
          </w:p>
        </w:tc>
        <w:tc>
          <w:tcPr>
            <w:tcW w:type="dxa" w:w="3312"/>
            <w:shd w:fill="FFFFFF"/>
            <w:tcMar>
              <w:top w:w="60" w:type="dxa"/>
              <w:bottom w:w="60" w:type="dxa"/>
              <w:left w:w="80" w:type="dxa"/>
              <w:right w:w="80" w:type="dxa"/>
            </w:tcMar>
          </w:tcPr>
          <w:p>
            <w:pPr>
              <w:jc w:val="left"/>
            </w:pPr>
            <w:r>
              <w:rPr>
                <w:color w:val="0F172A"/>
                <w:sz w:val="17"/>
              </w:rPr>
              <w:t>Analyzes Purple, Green &amp; Yellow Metro lines</w:t>
            </w:r>
          </w:p>
        </w:tc>
        <w:tc>
          <w:tcPr>
            <w:tcW w:type="dxa" w:w="3312"/>
            <w:shd w:fill="FFFFFF"/>
            <w:tcMar>
              <w:top w:w="60" w:type="dxa"/>
              <w:bottom w:w="60" w:type="dxa"/>
              <w:left w:w="80" w:type="dxa"/>
              <w:right w:w="80" w:type="dxa"/>
            </w:tcMar>
          </w:tcPr>
          <w:p>
            <w:pPr>
              <w:jc w:val="left"/>
            </w:pPr>
            <w:r>
              <w:rPr>
                <w:color w:val="0F172A"/>
                <w:sz w:val="17"/>
              </w:rPr>
              <w:t>Door-to-door duration, exact fare, transfer stations (Majestic) &amp; walking legs</w:t>
            </w:r>
          </w:p>
        </w:tc>
      </w:tr>
      <w:tr>
        <w:tc>
          <w:tcPr>
            <w:tcW w:type="dxa" w:w="3312"/>
            <w:shd w:fill="F8FAFC"/>
            <w:tcMar>
              <w:top w:w="60" w:type="dxa"/>
              <w:bottom w:w="60" w:type="dxa"/>
              <w:left w:w="80" w:type="dxa"/>
              <w:right w:w="80" w:type="dxa"/>
            </w:tcMar>
          </w:tcPr>
          <w:p>
            <w:pPr>
              <w:jc w:val="left"/>
            </w:pPr>
            <w:r>
              <w:rPr>
                <w:b/>
                <w:color w:val="0F172A"/>
                <w:sz w:val="17"/>
              </w:rPr>
              <w:t>get_bmtc_bus_details()</w:t>
            </w:r>
          </w:p>
        </w:tc>
        <w:tc>
          <w:tcPr>
            <w:tcW w:type="dxa" w:w="3312"/>
            <w:shd w:fill="F8FAFC"/>
            <w:tcMar>
              <w:top w:w="60" w:type="dxa"/>
              <w:bottom w:w="60" w:type="dxa"/>
              <w:left w:w="80" w:type="dxa"/>
              <w:right w:w="80" w:type="dxa"/>
            </w:tcMar>
          </w:tcPr>
          <w:p>
            <w:pPr>
              <w:jc w:val="left"/>
            </w:pPr>
            <w:r>
              <w:rPr>
                <w:color w:val="0F172A"/>
                <w:sz w:val="17"/>
              </w:rPr>
              <w:t>Compares Volvo Vajra AC vs Ordinary buses</w:t>
            </w:r>
          </w:p>
        </w:tc>
        <w:tc>
          <w:tcPr>
            <w:tcW w:type="dxa" w:w="3312"/>
            <w:shd w:fill="F8FAFC"/>
            <w:tcMar>
              <w:top w:w="60" w:type="dxa"/>
              <w:bottom w:w="60" w:type="dxa"/>
              <w:left w:w="80" w:type="dxa"/>
              <w:right w:w="80" w:type="dxa"/>
            </w:tcMar>
          </w:tcPr>
          <w:p>
            <w:pPr>
              <w:jc w:val="left"/>
            </w:pPr>
            <w:r>
              <w:rPr>
                <w:color w:val="0F172A"/>
                <w:sz w:val="17"/>
              </w:rPr>
              <w:t>Route numbers (500-D, 335-E, G-2), frequency, stops &amp; daily pass savings</w:t>
            </w:r>
          </w:p>
        </w:tc>
      </w:tr>
      <w:tr>
        <w:tc>
          <w:tcPr>
            <w:tcW w:type="dxa" w:w="3312"/>
            <w:shd w:fill="FFFFFF"/>
            <w:tcMar>
              <w:top w:w="60" w:type="dxa"/>
              <w:bottom w:w="60" w:type="dxa"/>
              <w:left w:w="80" w:type="dxa"/>
              <w:right w:w="80" w:type="dxa"/>
            </w:tcMar>
          </w:tcPr>
          <w:p>
            <w:pPr>
              <w:jc w:val="left"/>
            </w:pPr>
            <w:r>
              <w:rPr>
                <w:b/>
                <w:color w:val="0F172A"/>
                <w:sz w:val="17"/>
              </w:rPr>
              <w:t>get_weather_waterlogging_alerts()</w:t>
            </w:r>
          </w:p>
        </w:tc>
        <w:tc>
          <w:tcPr>
            <w:tcW w:type="dxa" w:w="3312"/>
            <w:shd w:fill="FFFFFF"/>
            <w:tcMar>
              <w:top w:w="60" w:type="dxa"/>
              <w:bottom w:w="60" w:type="dxa"/>
              <w:left w:w="80" w:type="dxa"/>
              <w:right w:w="80" w:type="dxa"/>
            </w:tcMar>
          </w:tcPr>
          <w:p>
            <w:pPr>
              <w:jc w:val="left"/>
            </w:pPr>
            <w:r>
              <w:rPr>
                <w:color w:val="0F172A"/>
                <w:sz w:val="17"/>
              </w:rPr>
              <w:t>Monitors monsoon rain &amp; hazard zones</w:t>
            </w:r>
          </w:p>
        </w:tc>
        <w:tc>
          <w:tcPr>
            <w:tcW w:type="dxa" w:w="3312"/>
            <w:shd w:fill="FFFFFF"/>
            <w:tcMar>
              <w:top w:w="60" w:type="dxa"/>
              <w:bottom w:w="60" w:type="dxa"/>
              <w:left w:w="80" w:type="dxa"/>
              <w:right w:w="80" w:type="dxa"/>
            </w:tcMar>
          </w:tcPr>
          <w:p>
            <w:pPr>
              <w:jc w:val="left"/>
            </w:pPr>
            <w:r>
              <w:rPr>
                <w:color w:val="0F172A"/>
                <w:sz w:val="17"/>
              </w:rPr>
              <w:t>Real-time alerts for flooded underpasses (Panathur, Marathahalli) &amp; BBMP roadworks</w:t>
            </w:r>
          </w:p>
        </w:tc>
      </w:tr>
    </w:tbl>
    <w:p>
      <w:pPr>
        <w:spacing w:after="200"/>
      </w:pPr>
    </w:p>
    <w:p>
      <w:r>
        <w:br w:type="page"/>
      </w:r>
    </w:p>
    <w:p>
      <w:pPr>
        <w:spacing w:before="280" w:after="80"/>
      </w:pPr>
      <w:r>
        <w:rPr>
          <w:rFonts w:ascii="Calibri" w:hAnsi="Calibri"/>
          <w:b/>
          <w:color w:val="0F172A"/>
          <w:sz w:val="32"/>
        </w:rPr>
        <w:t>3. Multimodal Showdown: Cost vs Travel Duration</w:t>
      </w:r>
    </w:p>
    <w:p>
      <w:r>
        <w:t>Namma Travel eliminates guesswork by projecting live multimodal trade-offs for any origin-destination pair. The visual benchmark below highlights a typical peak evening trip from Silk Board to Whitefield IT Hub:</w:t>
      </w:r>
    </w:p>
    <w:p>
      <w:pPr>
        <w:jc w:val="center"/>
      </w:pPr>
    </w:p>
    <w:p>
      <w:r>
        <w:drawing>
          <wp:inline xmlns:a="http://schemas.openxmlformats.org/drawingml/2006/main" xmlns:pic="http://schemas.openxmlformats.org/drawingml/2006/picture">
            <wp:extent cx="5943600" cy="2937642"/>
            <wp:docPr id="2" name="Picture 2"/>
            <wp:cNvGraphicFramePr>
              <a:graphicFrameLocks noChangeAspect="1"/>
            </wp:cNvGraphicFramePr>
            <a:graphic>
              <a:graphicData uri="http://schemas.openxmlformats.org/drawingml/2006/picture">
                <pic:pic>
                  <pic:nvPicPr>
                    <pic:cNvPr id="0" name="fare_vs_time_cinematic.png"/>
                    <pic:cNvPicPr/>
                  </pic:nvPicPr>
                  <pic:blipFill>
                    <a:blip r:embed="rId12"/>
                    <a:stretch>
                      <a:fillRect/>
                    </a:stretch>
                  </pic:blipFill>
                  <pic:spPr>
                    <a:xfrm>
                      <a:off x="0" y="0"/>
                      <a:ext cx="5943600" cy="2937642"/>
                    </a:xfrm>
                    <a:prstGeom prst="rect"/>
                  </pic:spPr>
                </pic:pic>
              </a:graphicData>
            </a:graphic>
          </wp:inline>
        </w:drawing>
      </w:r>
    </w:p>
    <w:p>
      <w:pPr>
        <w:spacing w:after="200"/>
        <w:jc w:val="center"/>
      </w:pPr>
      <w:r>
        <w:rPr>
          <w:i/>
          <w:color w:val="64748B"/>
          <w:sz w:val="17"/>
        </w:rPr>
        <w:t>Figure 2: Comprehensive Multimodal Fare vs Duration Benchmark across Bengaluru Transit Modes</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Borders>
              <w:top w:val="none"/>
              <w:left w:val="single" w:sz="28" w:space="0" w:color="34D399"/>
              <w:bottom w:val="none"/>
              <w:right w:val="none"/>
            </w:tcBorders>
          </w:tcPr>
          <w:p>
            <w:pPr>
              <w:spacing w:before="40" w:after="60"/>
            </w:pPr>
            <w:r>
              <w:rPr>
                <w:rFonts w:ascii="Calibri" w:hAnsi="Calibri"/>
                <w:b/>
                <w:color w:val="34D399"/>
                <w:sz w:val="22"/>
              </w:rPr>
              <w:t>⚡ Surge Cab Arbitrage</w:t>
              <w:br/>
            </w:r>
            <w:r>
              <w:rPr>
                <w:rFonts w:ascii="Calibri" w:hAnsi="Calibri"/>
                <w:color w:val="E2E8F0"/>
                <w:sz w:val="19"/>
              </w:rPr>
              <w:t>During 6:00 PM peak rains, cab surge escalates to ₹480+ with travel times stretching to 68 minutes in gridlock. Namma Metro Purple Line bypasses road traffic in 28 minutes for ₹35, while BMTC Vajra AC buses provide comfortable transit along the Outer Ring Road for ₹60, delivering over 85% cost savings.</w:t>
            </w:r>
          </w:p>
        </w:tc>
      </w:tr>
    </w:tbl>
    <w:p>
      <w:pPr>
        <w:spacing w:after="120"/>
      </w:pPr>
    </w:p>
    <w:p>
      <w:pPr>
        <w:spacing w:before="280" w:after="80"/>
      </w:pPr>
      <w:r>
        <w:rPr>
          <w:rFonts w:ascii="Calibri" w:hAnsi="Calibri"/>
          <w:b/>
          <w:color w:val="0F172A"/>
          <w:sz w:val="32"/>
        </w:rPr>
        <w:t>4. 24-Hour City Thermal Pulse &amp; Golden Departure Window</w:t>
      </w:r>
    </w:p>
    <w:p>
      <w:r>
        <w:t>By analyzing congestion curves across Silk Board, Tin Factory, Hebbal Flyover, and Bellandur Ecospace, the AI agent identifies optimal departure curves to avoid peak bottleneck hours:</w:t>
      </w:r>
    </w:p>
    <w:p>
      <w:pPr>
        <w:jc w:val="center"/>
      </w:pPr>
    </w:p>
    <w:p>
      <w:r>
        <w:drawing>
          <wp:inline xmlns:a="http://schemas.openxmlformats.org/drawingml/2006/main" xmlns:pic="http://schemas.openxmlformats.org/drawingml/2006/picture">
            <wp:extent cx="5943600" cy="2664373"/>
            <wp:docPr id="3" name="Picture 3"/>
            <wp:cNvGraphicFramePr>
              <a:graphicFrameLocks noChangeAspect="1"/>
            </wp:cNvGraphicFramePr>
            <a:graphic>
              <a:graphicData uri="http://schemas.openxmlformats.org/drawingml/2006/picture">
                <pic:pic>
                  <pic:nvPicPr>
                    <pic:cNvPr id="0" name="hourly_congestion_cinematic.png"/>
                    <pic:cNvPicPr/>
                  </pic:nvPicPr>
                  <pic:blipFill>
                    <a:blip r:embed="rId13"/>
                    <a:stretch>
                      <a:fillRect/>
                    </a:stretch>
                  </pic:blipFill>
                  <pic:spPr>
                    <a:xfrm>
                      <a:off x="0" y="0"/>
                      <a:ext cx="5943600" cy="2664373"/>
                    </a:xfrm>
                    <a:prstGeom prst="rect"/>
                  </pic:spPr>
                </pic:pic>
              </a:graphicData>
            </a:graphic>
          </wp:inline>
        </w:drawing>
      </w:r>
    </w:p>
    <w:p>
      <w:pPr>
        <w:spacing w:after="200"/>
        <w:jc w:val="center"/>
      </w:pPr>
      <w:r>
        <w:rPr>
          <w:i/>
          <w:color w:val="64748B"/>
          <w:sz w:val="17"/>
        </w:rPr>
        <w:t>Figure 3: 24-Hour Bengaluru Traffic Thermal Pulse and AI Predicted Golden Departure Windows</w:t>
      </w:r>
    </w:p>
    <w:p>
      <w:r>
        <w:br w:type="page"/>
      </w:r>
    </w:p>
    <w:p>
      <w:pPr>
        <w:spacing w:before="280" w:after="80"/>
      </w:pPr>
      <w:r>
        <w:rPr>
          <w:rFonts w:ascii="Calibri" w:hAnsi="Calibri"/>
          <w:b/>
          <w:color w:val="0F172A"/>
          <w:sz w:val="32"/>
        </w:rPr>
        <w:t>5. Biometric Shield: Google SSO &amp; Mobile +91 OTP</w:t>
      </w:r>
    </w:p>
    <w:p>
      <w:r>
        <w:t>Designed specifically for Indian commuters, Namma Travel offers dual-channel authentication. Commuters can sign in with 1-tap Google / Gmail OAuth or verify via 10-digit mobile number with 6-digit OTP:</w:t>
      </w:r>
    </w:p>
    <w:p>
      <w:pPr>
        <w:jc w:val="center"/>
      </w:pPr>
    </w:p>
    <w:p>
      <w:r>
        <w:drawing>
          <wp:inline xmlns:a="http://schemas.openxmlformats.org/drawingml/2006/main" xmlns:pic="http://schemas.openxmlformats.org/drawingml/2006/picture">
            <wp:extent cx="5943600" cy="2391104"/>
            <wp:docPr id="4" name="Picture 4"/>
            <wp:cNvGraphicFramePr>
              <a:graphicFrameLocks noChangeAspect="1"/>
            </wp:cNvGraphicFramePr>
            <a:graphic>
              <a:graphicData uri="http://schemas.openxmlformats.org/drawingml/2006/picture">
                <pic:pic>
                  <pic:nvPicPr>
                    <pic:cNvPr id="0" name="auth_pipeline_cinematic.png"/>
                    <pic:cNvPicPr/>
                  </pic:nvPicPr>
                  <pic:blipFill>
                    <a:blip r:embed="rId14"/>
                    <a:stretch>
                      <a:fillRect/>
                    </a:stretch>
                  </pic:blipFill>
                  <pic:spPr>
                    <a:xfrm>
                      <a:off x="0" y="0"/>
                      <a:ext cx="5943600" cy="2391104"/>
                    </a:xfrm>
                    <a:prstGeom prst="rect"/>
                  </pic:spPr>
                </pic:pic>
              </a:graphicData>
            </a:graphic>
          </wp:inline>
        </w:drawing>
      </w:r>
    </w:p>
    <w:p>
      <w:pPr>
        <w:spacing w:after="200"/>
        <w:jc w:val="center"/>
      </w:pPr>
      <w:r>
        <w:rPr>
          <w:i/>
          <w:color w:val="64748B"/>
          <w:sz w:val="17"/>
        </w:rPr>
        <w:t>Figure 4: Biometric &amp; Multi-Factor Commuter Identity Pipeline with Wallet Synchronization</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Borders>
              <w:top w:val="none"/>
              <w:left w:val="single" w:sz="28" w:space="0" w:color="C084FC"/>
              <w:bottom w:val="none"/>
              <w:right w:val="none"/>
            </w:tcBorders>
          </w:tcPr>
          <w:p>
            <w:pPr>
              <w:spacing w:before="40" w:after="60"/>
            </w:pPr>
            <w:r>
              <w:rPr>
                <w:rFonts w:ascii="Calibri" w:hAnsi="Calibri"/>
                <w:b/>
                <w:color w:val="C084FC"/>
                <w:sz w:val="22"/>
              </w:rPr>
              <w:t>⚡ Commuter Vault Synchronization</w:t>
              <w:br/>
            </w:r>
            <w:r>
              <w:rPr>
                <w:rFonts w:ascii="Calibri" w:hAnsi="Calibri"/>
                <w:color w:val="E2E8F0"/>
                <w:sz w:val="19"/>
              </w:rPr>
              <w:t>Upon authentication, the mobile app automatically links the commuter's Namma Metro Smart Card balance (₹280.00), BMTC Digital Daily Pass status (Active Zone 1-3), and saved corridors (Koramangala ⇄ Whitefield) with offline session encryption.</w:t>
            </w:r>
          </w:p>
        </w:tc>
      </w:tr>
    </w:tbl>
    <w:p>
      <w:pPr>
        <w:spacing w:after="120"/>
      </w:pPr>
    </w:p>
    <w:p>
      <w:pPr>
        <w:spacing w:before="280" w:after="80"/>
      </w:pPr>
      <w:r>
        <w:rPr>
          <w:rFonts w:ascii="Calibri" w:hAnsi="Calibri"/>
          <w:b/>
          <w:color w:val="0F172A"/>
          <w:sz w:val="32"/>
        </w:rPr>
        <w:t>6. Mission Launch: Play Store &amp; App Store Distribution</w:t>
      </w:r>
    </w:p>
    <w:p>
      <w:r>
        <w:t>Packaged under the dedicated `namma-travel-app/` directory, the single-codebase architecture delivers native binaries for Google Play Store and Apple App Store alongside instant zero-download progressive web apps:</w:t>
      </w:r>
    </w:p>
    <w:p>
      <w:pPr>
        <w:jc w:val="center"/>
      </w:pPr>
    </w:p>
    <w:p>
      <w:r>
        <w:drawing>
          <wp:inline xmlns:a="http://schemas.openxmlformats.org/drawingml/2006/main" xmlns:pic="http://schemas.openxmlformats.org/drawingml/2006/picture">
            <wp:extent cx="5943600" cy="2391104"/>
            <wp:docPr id="5" name="Picture 5"/>
            <wp:cNvGraphicFramePr>
              <a:graphicFrameLocks noChangeAspect="1"/>
            </wp:cNvGraphicFramePr>
            <a:graphic>
              <a:graphicData uri="http://schemas.openxmlformats.org/drawingml/2006/picture">
                <pic:pic>
                  <pic:nvPicPr>
                    <pic:cNvPr id="0" name="distribution_cinematic.png"/>
                    <pic:cNvPicPr/>
                  </pic:nvPicPr>
                  <pic:blipFill>
                    <a:blip r:embed="rId15"/>
                    <a:stretch>
                      <a:fillRect/>
                    </a:stretch>
                  </pic:blipFill>
                  <pic:spPr>
                    <a:xfrm>
                      <a:off x="0" y="0"/>
                      <a:ext cx="5943600" cy="2391104"/>
                    </a:xfrm>
                    <a:prstGeom prst="rect"/>
                  </pic:spPr>
                </pic:pic>
              </a:graphicData>
            </a:graphic>
          </wp:inline>
        </w:drawing>
      </w:r>
    </w:p>
    <w:p>
      <w:pPr>
        <w:spacing w:after="200"/>
        <w:jc w:val="center"/>
      </w:pPr>
      <w:r>
        <w:rPr>
          <w:i/>
          <w:color w:val="64748B"/>
          <w:sz w:val="17"/>
        </w:rPr>
        <w:t>Figure 5: Cross-Platform Build, Native Packaging, and Multi-Store Release Orbit</w:t>
      </w:r>
    </w:p>
    <w:p>
      <w:pPr>
        <w:spacing w:before="280" w:after="80"/>
      </w:pPr>
      <w:r>
        <w:rPr>
          <w:rFonts w:ascii="Calibri" w:hAnsi="Calibri"/>
          <w:b/>
          <w:color w:val="0F172A"/>
          <w:sz w:val="32"/>
        </w:rPr>
        <w:t>7. User Installation Walkthrough &amp; Technical Specifications</w:t>
      </w:r>
    </w:p>
    <w:tbl>
      <w:tblPr>
        <w:tblW w:type="auto" w:w="0"/>
        <w:jc w:val="center"/>
        <w:tblLayout w:type="fixed"/>
        <w:tblLook w:firstColumn="1" w:firstRow="1" w:lastColumn="0" w:lastRow="0" w:noHBand="0" w:noVBand="1" w:val="04A0"/>
      </w:tblPr>
      <w:tblGrid>
        <w:gridCol w:w="2592"/>
        <w:gridCol w:w="3312"/>
        <w:gridCol w:w="3456"/>
      </w:tblGrid>
      <w:tr>
        <w:tc>
          <w:tcPr>
            <w:tcW w:type="dxa" w:w="3312"/>
            <w:shd w:fill="0F172A"/>
            <w:tcMar>
              <w:top w:w="70" w:type="dxa"/>
              <w:bottom w:w="70" w:type="dxa"/>
              <w:left w:w="90" w:type="dxa"/>
              <w:right w:w="90" w:type="dxa"/>
            </w:tcMar>
          </w:tcPr>
          <w:p>
            <w:pPr>
              <w:jc w:val="center"/>
            </w:pPr>
            <w:r>
              <w:rPr>
                <w:b/>
                <w:color w:val="38BDF8"/>
                <w:sz w:val="16"/>
              </w:rPr>
              <w:t>DEPLOYMENT CHANNEL</w:t>
            </w:r>
          </w:p>
        </w:tc>
        <w:tc>
          <w:tcPr>
            <w:tcW w:type="dxa" w:w="3312"/>
            <w:shd w:fill="0F172A"/>
            <w:tcMar>
              <w:top w:w="70" w:type="dxa"/>
              <w:bottom w:w="70" w:type="dxa"/>
              <w:left w:w="90" w:type="dxa"/>
              <w:right w:w="90" w:type="dxa"/>
            </w:tcMar>
          </w:tcPr>
          <w:p>
            <w:pPr>
              <w:jc w:val="center"/>
            </w:pPr>
            <w:r>
              <w:rPr>
                <w:b/>
                <w:color w:val="38BDF8"/>
                <w:sz w:val="16"/>
              </w:rPr>
              <w:t>USER INSTALLATION STEPS</w:t>
            </w:r>
          </w:p>
        </w:tc>
        <w:tc>
          <w:tcPr>
            <w:tcW w:type="dxa" w:w="3312"/>
            <w:shd w:fill="0F172A"/>
            <w:tcMar>
              <w:top w:w="70" w:type="dxa"/>
              <w:bottom w:w="70" w:type="dxa"/>
              <w:left w:w="90" w:type="dxa"/>
              <w:right w:w="90" w:type="dxa"/>
            </w:tcMar>
          </w:tcPr>
          <w:p>
            <w:pPr>
              <w:jc w:val="center"/>
            </w:pPr>
            <w:r>
              <w:rPr>
                <w:b/>
                <w:color w:val="38BDF8"/>
                <w:sz w:val="16"/>
              </w:rPr>
              <w:t>EXPERIENCE ATTRIBUTES</w:t>
            </w:r>
          </w:p>
        </w:tc>
      </w:tr>
      <w:tr>
        <w:tc>
          <w:tcPr>
            <w:tcW w:type="dxa" w:w="3312"/>
            <w:shd w:fill="FFFFFF"/>
            <w:tcMar>
              <w:top w:w="60" w:type="dxa"/>
              <w:bottom w:w="60" w:type="dxa"/>
              <w:left w:w="80" w:type="dxa"/>
              <w:right w:w="80" w:type="dxa"/>
            </w:tcMar>
          </w:tcPr>
          <w:p>
            <w:pPr>
              <w:jc w:val="left"/>
            </w:pPr>
            <w:r>
              <w:rPr>
                <w:b/>
                <w:color w:val="0F172A"/>
                <w:sz w:val="17"/>
              </w:rPr>
              <w:t>Google Play Store</w:t>
            </w:r>
          </w:p>
        </w:tc>
        <w:tc>
          <w:tcPr>
            <w:tcW w:type="dxa" w:w="3312"/>
            <w:shd w:fill="FFFFFF"/>
            <w:tcMar>
              <w:top w:w="60" w:type="dxa"/>
              <w:bottom w:w="60" w:type="dxa"/>
              <w:left w:w="80" w:type="dxa"/>
              <w:right w:w="80" w:type="dxa"/>
            </w:tcMar>
          </w:tcPr>
          <w:p>
            <w:pPr>
              <w:jc w:val="left"/>
            </w:pPr>
            <w:r>
              <w:rPr>
                <w:color w:val="0F172A"/>
                <w:sz w:val="17"/>
              </w:rPr>
              <w:t>Search 'Namma Travel' → Tap 'Install'</w:t>
            </w:r>
          </w:p>
        </w:tc>
        <w:tc>
          <w:tcPr>
            <w:tcW w:type="dxa" w:w="3312"/>
            <w:shd w:fill="FFFFFF"/>
            <w:tcMar>
              <w:top w:w="60" w:type="dxa"/>
              <w:bottom w:w="60" w:type="dxa"/>
              <w:left w:w="80" w:type="dxa"/>
              <w:right w:w="80" w:type="dxa"/>
            </w:tcMar>
          </w:tcPr>
          <w:p>
            <w:pPr>
              <w:jc w:val="left"/>
            </w:pPr>
            <w:r>
              <w:rPr>
                <w:color w:val="0F172A"/>
                <w:sz w:val="17"/>
              </w:rPr>
              <w:t>Google Play Protect verified, automatic background updates, native home icon</w:t>
            </w:r>
          </w:p>
        </w:tc>
      </w:tr>
      <w:tr>
        <w:tc>
          <w:tcPr>
            <w:tcW w:type="dxa" w:w="3312"/>
            <w:shd w:fill="F8FAFC"/>
            <w:tcMar>
              <w:top w:w="60" w:type="dxa"/>
              <w:bottom w:w="60" w:type="dxa"/>
              <w:left w:w="80" w:type="dxa"/>
              <w:right w:w="80" w:type="dxa"/>
            </w:tcMar>
          </w:tcPr>
          <w:p>
            <w:pPr>
              <w:jc w:val="left"/>
            </w:pPr>
            <w:r>
              <w:rPr>
                <w:b/>
                <w:color w:val="0F172A"/>
                <w:sz w:val="17"/>
              </w:rPr>
              <w:t>Android Direct Install (WebAPK)</w:t>
            </w:r>
          </w:p>
        </w:tc>
        <w:tc>
          <w:tcPr>
            <w:tcW w:type="dxa" w:w="3312"/>
            <w:shd w:fill="F8FAFC"/>
            <w:tcMar>
              <w:top w:w="60" w:type="dxa"/>
              <w:bottom w:w="60" w:type="dxa"/>
              <w:left w:w="80" w:type="dxa"/>
              <w:right w:w="80" w:type="dxa"/>
            </w:tcMar>
          </w:tcPr>
          <w:p>
            <w:pPr>
              <w:jc w:val="left"/>
            </w:pPr>
            <w:r>
              <w:rPr>
                <w:color w:val="0F172A"/>
                <w:sz w:val="17"/>
              </w:rPr>
              <w:t>Open in Chrome → Tap 'Install App' banner</w:t>
            </w:r>
          </w:p>
        </w:tc>
        <w:tc>
          <w:tcPr>
            <w:tcW w:type="dxa" w:w="3312"/>
            <w:shd w:fill="F8FAFC"/>
            <w:tcMar>
              <w:top w:w="60" w:type="dxa"/>
              <w:bottom w:w="60" w:type="dxa"/>
              <w:left w:w="80" w:type="dxa"/>
              <w:right w:w="80" w:type="dxa"/>
            </w:tcMar>
          </w:tcPr>
          <w:p>
            <w:pPr>
              <w:jc w:val="left"/>
            </w:pPr>
            <w:r>
              <w:rPr>
                <w:color w:val="0F172A"/>
                <w:sz w:val="17"/>
              </w:rPr>
              <w:t>Zero storage friction, instant native APK compilation, offline cache ready</w:t>
            </w:r>
          </w:p>
        </w:tc>
      </w:tr>
      <w:tr>
        <w:tc>
          <w:tcPr>
            <w:tcW w:type="dxa" w:w="3312"/>
            <w:shd w:fill="FFFFFF"/>
            <w:tcMar>
              <w:top w:w="60" w:type="dxa"/>
              <w:bottom w:w="60" w:type="dxa"/>
              <w:left w:w="80" w:type="dxa"/>
              <w:right w:w="80" w:type="dxa"/>
            </w:tcMar>
          </w:tcPr>
          <w:p>
            <w:pPr>
              <w:jc w:val="left"/>
            </w:pPr>
            <w:r>
              <w:rPr>
                <w:b/>
                <w:color w:val="0F172A"/>
                <w:sz w:val="17"/>
              </w:rPr>
              <w:t>Apple App Store (iOS)</w:t>
            </w:r>
          </w:p>
        </w:tc>
        <w:tc>
          <w:tcPr>
            <w:tcW w:type="dxa" w:w="3312"/>
            <w:shd w:fill="FFFFFF"/>
            <w:tcMar>
              <w:top w:w="60" w:type="dxa"/>
              <w:bottom w:w="60" w:type="dxa"/>
              <w:left w:w="80" w:type="dxa"/>
              <w:right w:w="80" w:type="dxa"/>
            </w:tcMar>
          </w:tcPr>
          <w:p>
            <w:pPr>
              <w:jc w:val="left"/>
            </w:pPr>
            <w:r>
              <w:rPr>
                <w:color w:val="0F172A"/>
                <w:sz w:val="17"/>
              </w:rPr>
              <w:t>Download via TestFlight or App Store Link</w:t>
            </w:r>
          </w:p>
        </w:tc>
        <w:tc>
          <w:tcPr>
            <w:tcW w:type="dxa" w:w="3312"/>
            <w:shd w:fill="FFFFFF"/>
            <w:tcMar>
              <w:top w:w="60" w:type="dxa"/>
              <w:bottom w:w="60" w:type="dxa"/>
              <w:left w:w="80" w:type="dxa"/>
              <w:right w:w="80" w:type="dxa"/>
            </w:tcMar>
          </w:tcPr>
          <w:p>
            <w:pPr>
              <w:jc w:val="left"/>
            </w:pPr>
            <w:r>
              <w:rPr>
                <w:color w:val="0F172A"/>
                <w:sz w:val="17"/>
              </w:rPr>
              <w:t>Native iOS ergonomics, Dynamic Island / Notch safe-area, dark mode default</w:t>
            </w:r>
          </w:p>
        </w:tc>
      </w:tr>
      <w:tr>
        <w:tc>
          <w:tcPr>
            <w:tcW w:type="dxa" w:w="3312"/>
            <w:shd w:fill="F8FAFC"/>
            <w:tcMar>
              <w:top w:w="60" w:type="dxa"/>
              <w:bottom w:w="60" w:type="dxa"/>
              <w:left w:w="80" w:type="dxa"/>
              <w:right w:w="80" w:type="dxa"/>
            </w:tcMar>
          </w:tcPr>
          <w:p>
            <w:pPr>
              <w:jc w:val="left"/>
            </w:pPr>
            <w:r>
              <w:rPr>
                <w:b/>
                <w:color w:val="0F172A"/>
                <w:sz w:val="17"/>
              </w:rPr>
              <w:t>iPhone Safari Standalone</w:t>
            </w:r>
          </w:p>
        </w:tc>
        <w:tc>
          <w:tcPr>
            <w:tcW w:type="dxa" w:w="3312"/>
            <w:shd w:fill="F8FAFC"/>
            <w:tcMar>
              <w:top w:w="60" w:type="dxa"/>
              <w:bottom w:w="60" w:type="dxa"/>
              <w:left w:w="80" w:type="dxa"/>
              <w:right w:w="80" w:type="dxa"/>
            </w:tcMar>
          </w:tcPr>
          <w:p>
            <w:pPr>
              <w:jc w:val="left"/>
            </w:pPr>
            <w:r>
              <w:rPr>
                <w:color w:val="0F172A"/>
                <w:sz w:val="17"/>
              </w:rPr>
              <w:t>Open Safari → Share (⎙) → 'Add to Home Screen'</w:t>
            </w:r>
          </w:p>
        </w:tc>
        <w:tc>
          <w:tcPr>
            <w:tcW w:type="dxa" w:w="3312"/>
            <w:shd w:fill="F8FAFC"/>
            <w:tcMar>
              <w:top w:w="60" w:type="dxa"/>
              <w:bottom w:w="60" w:type="dxa"/>
              <w:left w:w="80" w:type="dxa"/>
              <w:right w:w="80" w:type="dxa"/>
            </w:tcMar>
          </w:tcPr>
          <w:p>
            <w:pPr>
              <w:jc w:val="left"/>
            </w:pPr>
            <w:r>
              <w:rPr>
                <w:color w:val="0F172A"/>
                <w:sz w:val="17"/>
              </w:rPr>
              <w:t>Full-screen standalone mode without Safari address bars, Retina vector icon</w:t>
            </w:r>
          </w:p>
        </w:tc>
      </w:tr>
    </w:tbl>
    <w:p>
      <w:pPr>
        <w:spacing w:after="240"/>
      </w:pPr>
    </w:p>
    <w:tbl>
      <w:tblPr>
        <w:tblW w:type="auto" w:w="0"/>
        <w:jc w:val="center"/>
        <w:tblLayout w:type="fixed"/>
        <w:tblLook w:firstColumn="1" w:firstRow="1" w:lastColumn="0" w:lastRow="0" w:noHBand="0" w:noVBand="1" w:val="04A0"/>
      </w:tblPr>
      <w:tblGrid>
        <w:gridCol w:w="2333"/>
        <w:gridCol w:w="2333"/>
        <w:gridCol w:w="2333"/>
        <w:gridCol w:w="2333"/>
      </w:tblGrid>
      <w:tr>
        <w:tc>
          <w:tcPr>
            <w:tcW w:type="dxa" w:w="2484"/>
            <w:shd w:fill="0F172A"/>
            <w:tcMar>
              <w:top w:w="60" w:type="dxa"/>
              <w:bottom w:w="60" w:type="dxa"/>
              <w:left w:w="80" w:type="dxa"/>
              <w:right w:w="80" w:type="dxa"/>
            </w:tcMar>
          </w:tcPr>
          <w:p>
            <w:pPr>
              <w:jc w:val="center"/>
            </w:pPr>
            <w:r>
              <w:rPr>
                <w:b/>
                <w:color w:val="38BDF8"/>
                <w:sz w:val="15"/>
              </w:rPr>
              <w:t>GENAI CORE</w:t>
            </w:r>
          </w:p>
        </w:tc>
        <w:tc>
          <w:tcPr>
            <w:tcW w:type="dxa" w:w="2484"/>
            <w:shd w:fill="0F172A"/>
            <w:tcMar>
              <w:top w:w="60" w:type="dxa"/>
              <w:bottom w:w="60" w:type="dxa"/>
              <w:left w:w="80" w:type="dxa"/>
              <w:right w:w="80" w:type="dxa"/>
            </w:tcMar>
          </w:tcPr>
          <w:p>
            <w:pPr>
              <w:jc w:val="center"/>
            </w:pPr>
            <w:r>
              <w:rPr>
                <w:b/>
                <w:color w:val="38BDF8"/>
                <w:sz w:val="15"/>
              </w:rPr>
              <w:t>REST / ASYNC API</w:t>
            </w:r>
          </w:p>
        </w:tc>
        <w:tc>
          <w:tcPr>
            <w:tcW w:type="dxa" w:w="2484"/>
            <w:shd w:fill="0F172A"/>
            <w:tcMar>
              <w:top w:w="60" w:type="dxa"/>
              <w:bottom w:w="60" w:type="dxa"/>
              <w:left w:w="80" w:type="dxa"/>
              <w:right w:w="80" w:type="dxa"/>
            </w:tcMar>
          </w:tcPr>
          <w:p>
            <w:pPr>
              <w:jc w:val="center"/>
            </w:pPr>
            <w:r>
              <w:rPr>
                <w:b/>
                <w:color w:val="38BDF8"/>
                <w:sz w:val="15"/>
              </w:rPr>
              <w:t>CROSS-PLATFORM</w:t>
            </w:r>
          </w:p>
        </w:tc>
        <w:tc>
          <w:tcPr>
            <w:tcW w:type="dxa" w:w="2484"/>
            <w:shd w:fill="0F172A"/>
            <w:tcMar>
              <w:top w:w="60" w:type="dxa"/>
              <w:bottom w:w="60" w:type="dxa"/>
              <w:left w:w="80" w:type="dxa"/>
              <w:right w:w="80" w:type="dxa"/>
            </w:tcMar>
          </w:tcPr>
          <w:p>
            <w:pPr>
              <w:jc w:val="center"/>
            </w:pPr>
            <w:r>
              <w:rPr>
                <w:b/>
                <w:color w:val="38BDF8"/>
                <w:sz w:val="15"/>
              </w:rPr>
              <w:t>TEST SUITE</w:t>
            </w:r>
          </w:p>
        </w:tc>
      </w:tr>
      <w:tr>
        <w:tc>
          <w:tcPr>
            <w:tcW w:type="dxa" w:w="2484"/>
            <w:shd w:fill="1E293B"/>
            <w:tcMar>
              <w:top w:w="60" w:type="dxa"/>
              <w:bottom w:w="60" w:type="dxa"/>
              <w:left w:w="80" w:type="dxa"/>
              <w:right w:w="80" w:type="dxa"/>
            </w:tcMar>
          </w:tcPr>
          <w:p>
            <w:pPr>
              <w:jc w:val="center"/>
            </w:pPr>
            <w:r>
              <w:rPr>
                <w:color w:val="F1F5F9"/>
                <w:sz w:val="16"/>
              </w:rPr>
              <w:t>Google Gemini 2.5 Flash</w:t>
              <w:br/>
              <w:t>+ Local Heuristics</w:t>
            </w:r>
          </w:p>
        </w:tc>
        <w:tc>
          <w:tcPr>
            <w:tcW w:type="dxa" w:w="2484"/>
            <w:shd w:fill="1E293B"/>
            <w:tcMar>
              <w:top w:w="60" w:type="dxa"/>
              <w:bottom w:w="60" w:type="dxa"/>
              <w:left w:w="80" w:type="dxa"/>
              <w:right w:w="80" w:type="dxa"/>
            </w:tcMar>
          </w:tcPr>
          <w:p>
            <w:pPr>
              <w:jc w:val="center"/>
            </w:pPr>
            <w:r>
              <w:rPr>
                <w:color w:val="F1F5F9"/>
                <w:sz w:val="16"/>
              </w:rPr>
              <w:t>Python FastAPI</w:t>
              <w:br/>
              <w:t>Uvicorn Daemon</w:t>
            </w:r>
          </w:p>
        </w:tc>
        <w:tc>
          <w:tcPr>
            <w:tcW w:type="dxa" w:w="2484"/>
            <w:shd w:fill="1E293B"/>
            <w:tcMar>
              <w:top w:w="60" w:type="dxa"/>
              <w:bottom w:w="60" w:type="dxa"/>
              <w:left w:w="80" w:type="dxa"/>
              <w:right w:w="80" w:type="dxa"/>
            </w:tcMar>
          </w:tcPr>
          <w:p>
            <w:pPr>
              <w:jc w:val="center"/>
            </w:pPr>
            <w:r>
              <w:rPr>
                <w:color w:val="F1F5F9"/>
                <w:sz w:val="16"/>
              </w:rPr>
              <w:t>Capacitor 6.0</w:t>
              <w:br/>
              <w:t>Bubblewrap TWA</w:t>
            </w:r>
          </w:p>
        </w:tc>
        <w:tc>
          <w:tcPr>
            <w:tcW w:type="dxa" w:w="2484"/>
            <w:shd w:fill="1E293B"/>
            <w:tcMar>
              <w:top w:w="60" w:type="dxa"/>
              <w:bottom w:w="60" w:type="dxa"/>
              <w:left w:w="80" w:type="dxa"/>
              <w:right w:w="80" w:type="dxa"/>
            </w:tcMar>
          </w:tcPr>
          <w:p>
            <w:pPr>
              <w:jc w:val="center"/>
            </w:pPr>
            <w:r>
              <w:rPr>
                <w:color w:val="F1F5F9"/>
                <w:sz w:val="16"/>
              </w:rPr>
              <w:t>15/15 Pytest Passing</w:t>
              <w:br/>
              <w:t>Auth + Tools Suite</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CONFIDENTIAL • GDG CLOUD BENGALURU • FORK. BUILD. MERGE.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NAMMA TRAVEL // AUTONOMOUS AI AGENT &amp; MOBILE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