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微软雅黑"/>
          <w:sz w:val="48"/>
          <w:szCs w:val="48"/>
        </w:rPr>
      </w:pPr>
    </w:p>
    <w:p>
      <w:pPr>
        <w:jc w:val="center"/>
        <w:rPr>
          <w:rFonts w:asci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银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</w:rPr>
        <w:t>行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  <w:lang w:eastAsia="zh-CN"/>
        </w:rPr>
        <w:t>代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/>
          <w:b/>
          <w:sz w:val="44"/>
          <w:szCs w:val="44"/>
          <w:lang w:eastAsia="zh-CN"/>
        </w:rPr>
        <w:t>扣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 xml:space="preserve"> 服 务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一、服务内容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华立科技股份有限公司向水务公司提供系统软件平台，即能源管理云平台，以下简称云平台。在提供信息（户名、户号、银行卡）准确的情况下，用云平台实现水费代扣服务。</w:t>
      </w:r>
    </w:p>
    <w:p>
      <w:pP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  <w:t>二、流程说明</w:t>
      </w:r>
    </w:p>
    <w:p>
      <w:pP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1、签约流程</w:t>
      </w:r>
    </w:p>
    <w:p>
      <w:pPr>
        <w:numPr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用户持＜三方协议＞到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水务公司，水务</w:t>
      </w:r>
      <w:r>
        <w:rPr>
          <w:rFonts w:hint="eastAsia" w:ascii="微软雅黑" w:hAnsi="微软雅黑" w:eastAsia="微软雅黑" w:cs="微软雅黑"/>
          <w:sz w:val="24"/>
          <w:szCs w:val="24"/>
        </w:rPr>
        <w:t>公司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在云平台进行信息（户名户号）录入。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（2）水务公司到</w:t>
      </w:r>
      <w:r>
        <w:rPr>
          <w:rFonts w:hint="eastAsia" w:ascii="微软雅黑" w:hAnsi="微软雅黑" w:eastAsia="微软雅黑" w:cs="微软雅黑"/>
          <w:sz w:val="24"/>
          <w:szCs w:val="24"/>
        </w:rPr>
        <w:t>银行办理开户登记。在银行办理时，银行向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平台</w:t>
      </w:r>
      <w:r>
        <w:rPr>
          <w:rFonts w:hint="eastAsia" w:ascii="微软雅黑" w:hAnsi="微软雅黑" w:eastAsia="微软雅黑" w:cs="微软雅黑"/>
          <w:sz w:val="24"/>
          <w:szCs w:val="24"/>
        </w:rPr>
        <w:t>传送开户信息（户号、卡号）。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（3）平台</w:t>
      </w:r>
      <w:r>
        <w:rPr>
          <w:rFonts w:hint="eastAsia" w:ascii="微软雅黑" w:hAnsi="微软雅黑" w:eastAsia="微软雅黑" w:cs="微软雅黑"/>
          <w:sz w:val="24"/>
          <w:szCs w:val="24"/>
        </w:rPr>
        <w:t>根据银行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传送的</w:t>
      </w:r>
      <w:r>
        <w:rPr>
          <w:rFonts w:hint="eastAsia" w:ascii="微软雅黑" w:hAnsi="微软雅黑" w:eastAsia="微软雅黑" w:cs="微软雅黑"/>
          <w:sz w:val="24"/>
          <w:szCs w:val="24"/>
        </w:rPr>
        <w:t>信息写入到用户档案中，如果返回成功信息，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则签约登记成功。如果</w:t>
      </w:r>
      <w:r>
        <w:rPr>
          <w:rFonts w:hint="eastAsia" w:ascii="微软雅黑" w:hAnsi="微软雅黑" w:eastAsia="微软雅黑" w:cs="微软雅黑"/>
          <w:sz w:val="24"/>
          <w:szCs w:val="24"/>
        </w:rPr>
        <w:t>返回出错信息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则签约失败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pict>
          <v:shape id="_x0000_i1027" o:spt="75" alt="签约流程" type="#_x0000_t75" style="height:148.6pt;width:415pt;" filled="f" o:preferrelative="t" stroked="f" coordsize="21600,21600">
            <v:path/>
            <v:fill on="f" focussize="0,0"/>
            <v:stroke on="f"/>
            <v:imagedata r:id="rId6" o:title="签约流程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签约流程图</w:t>
      </w:r>
    </w:p>
    <w:p/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代扣流程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（1）云平台每月生成月账单。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（2）管理员在云平台后台核算账单后手动点“核算-生成账单”。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（3）银行代扣服务每月指定时间主动获取已核算的账单文件。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（4）银行根据返回的账单文件实行代扣业务。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（5）银行代扣完成后返回代扣结果文件到云平台。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（6）云平台根据返回的结果自动修改月账单扣款状态。</w:t>
      </w: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pict>
          <v:shape id="_x0000_i1026" o:spt="75" alt="代扣流程" type="#_x0000_t75" style="height:238.3pt;width:441.2pt;" filled="f" o:preferrelative="t" stroked="f" coordsize="21600,21600">
            <v:path/>
            <v:fill on="f" focussize="0,0"/>
            <v:stroke on="f"/>
            <v:imagedata r:id="rId7" o:title="代扣流程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代扣流程图</w:t>
      </w:r>
    </w:p>
    <w:p>
      <w:pPr>
        <w:pStyle w:val="5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三、补充说明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涉及业务仅为流程中业务，不含其它业务。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2.账单核算需要手动操作（云平台点“核算-生成账单”）。未核算账单银行无法获取，往下月累积，直至核算操作月。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3.银行未完成扣款的账单延迟到下月一起处理，代扣过程非实时过程，扣款结果可以登录能源云平台查看结果。</w:t>
      </w:r>
    </w:p>
    <w:p>
      <w:pPr>
        <w:pStyle w:val="5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4.账单文件字段包含：户号、户名、地址、期间、上期抄度、本期抄度、实发生度、单价、金额、卡号。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不含滞纳金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举例：</w:t>
      </w:r>
    </w:p>
    <w:tbl>
      <w:tblPr>
        <w:tblStyle w:val="16"/>
        <w:tblW w:w="852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740"/>
        <w:gridCol w:w="1456"/>
        <w:gridCol w:w="801"/>
        <w:gridCol w:w="801"/>
        <w:gridCol w:w="801"/>
        <w:gridCol w:w="801"/>
        <w:gridCol w:w="801"/>
        <w:gridCol w:w="801"/>
        <w:gridCol w:w="801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户号</w:t>
            </w:r>
          </w:p>
        </w:tc>
        <w:tc>
          <w:tcPr>
            <w:tcW w:w="740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户名</w:t>
            </w:r>
          </w:p>
        </w:tc>
        <w:tc>
          <w:tcPr>
            <w:tcW w:w="1456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上期抄度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本期抄度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实发生度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单价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金额</w:t>
            </w:r>
          </w:p>
        </w:tc>
        <w:tc>
          <w:tcPr>
            <w:tcW w:w="801" w:type="dxa"/>
            <w:tcBorders>
              <w:bottom w:val="single" w:color="666666" w:sz="12" w:space="0"/>
            </w:tcBorders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  <w:t>卡号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vAlign w:val="top"/>
          </w:tcPr>
          <w:p>
            <w:pPr>
              <w:pStyle w:val="28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120355</w:t>
            </w:r>
          </w:p>
        </w:tc>
        <w:tc>
          <w:tcPr>
            <w:tcW w:w="740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方军红</w:t>
            </w:r>
          </w:p>
        </w:tc>
        <w:tc>
          <w:tcPr>
            <w:tcW w:w="1456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晨东小区52-2-204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201503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1.55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12.40</w:t>
            </w:r>
          </w:p>
        </w:tc>
        <w:tc>
          <w:tcPr>
            <w:tcW w:w="801" w:type="dxa"/>
            <w:vAlign w:val="top"/>
          </w:tcPr>
          <w:p>
            <w:pPr>
              <w:pStyle w:val="27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XXX</w:t>
            </w:r>
          </w:p>
        </w:tc>
      </w:tr>
    </w:tbl>
    <w:p/>
    <w:p/>
    <w:p>
      <w:pPr>
        <w:rPr>
          <w:rFonts w:hint="eastAsia" w:eastAsia="微软雅黑"/>
          <w:lang w:eastAsia="zh-CN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lvetica">
    <w:altName w:val="Microsoft Sans Serif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9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8A44FF4"/>
    <w:rsid w:val="4EF9773D"/>
    <w:rsid w:val="5DA875BE"/>
    <w:rsid w:val="5E2B42D0"/>
    <w:rsid w:val="705B447D"/>
    <w:rsid w:val="749B07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widowControl w:val="0"/>
      <w:adjustRightInd/>
      <w:snapToGrid/>
      <w:spacing w:after="0" w:line="360" w:lineRule="auto"/>
      <w:jc w:val="both"/>
      <w:outlineLvl w:val="0"/>
    </w:pPr>
    <w:rPr>
      <w:rFonts w:ascii="仿宋_GB2312" w:hAnsi="Times New Roman" w:eastAsia="宋体"/>
      <w:b/>
      <w:bCs/>
      <w:sz w:val="28"/>
      <w:szCs w:val="24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adjustRightInd/>
      <w:snapToGrid/>
      <w:spacing w:after="0"/>
      <w:ind w:firstLine="420"/>
      <w:jc w:val="both"/>
    </w:pPr>
    <w:rPr>
      <w:rFonts w:ascii="Times New Roman" w:hAnsi="Times New Roman" w:eastAsia="宋体"/>
      <w:kern w:val="2"/>
      <w:sz w:val="21"/>
      <w:szCs w:val="20"/>
    </w:rPr>
  </w:style>
  <w:style w:type="paragraph" w:styleId="6">
    <w:name w:val="Body Text Indent"/>
    <w:basedOn w:val="1"/>
    <w:link w:val="26"/>
    <w:qFormat/>
    <w:uiPriority w:val="99"/>
    <w:pPr>
      <w:widowControl w:val="0"/>
      <w:adjustRightInd/>
      <w:snapToGrid/>
      <w:spacing w:after="0"/>
      <w:ind w:left="425"/>
      <w:jc w:val="both"/>
    </w:pPr>
    <w:rPr>
      <w:rFonts w:ascii="Times New Roman" w:hAnsi="Times New Roman" w:eastAsia="宋体"/>
      <w:kern w:val="2"/>
      <w:sz w:val="21"/>
      <w:szCs w:val="20"/>
    </w:rPr>
  </w:style>
  <w:style w:type="paragraph" w:styleId="7">
    <w:name w:val="toc 3"/>
    <w:basedOn w:val="1"/>
    <w:next w:val="1"/>
    <w:qFormat/>
    <w:uiPriority w:val="99"/>
    <w:pPr>
      <w:ind w:left="840" w:leftChars="400"/>
    </w:pPr>
  </w:style>
  <w:style w:type="paragraph" w:styleId="8">
    <w:name w:val="Balloon Text"/>
    <w:basedOn w:val="1"/>
    <w:link w:val="22"/>
    <w:semiHidden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99"/>
    <w:pPr>
      <w:widowControl w:val="0"/>
      <w:tabs>
        <w:tab w:val="right" w:leader="dot" w:pos="8296"/>
      </w:tabs>
      <w:adjustRightInd/>
      <w:snapToGrid/>
      <w:spacing w:after="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2">
    <w:name w:val="toc 2"/>
    <w:basedOn w:val="1"/>
    <w:next w:val="1"/>
    <w:qFormat/>
    <w:uiPriority w:val="99"/>
    <w:pPr>
      <w:widowControl w:val="0"/>
      <w:adjustRightInd/>
      <w:snapToGrid/>
      <w:spacing w:after="0"/>
      <w:ind w:left="420" w:left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3">
    <w:name w:val="Normal (Web)"/>
    <w:basedOn w:val="1"/>
    <w:qFormat/>
    <w:uiPriority w:val="99"/>
    <w:pPr>
      <w:adjustRightInd/>
      <w:snapToGrid/>
      <w:spacing w:before="100" w:beforeAutospacing="1" w:after="100" w:afterAutospacing="1" w:line="360" w:lineRule="auto"/>
      <w:jc w:val="both"/>
    </w:pPr>
    <w:rPr>
      <w:rFonts w:ascii="宋体" w:hAnsi="宋体" w:eastAsia="宋体" w:cs="宋体"/>
      <w:sz w:val="24"/>
      <w:szCs w:val="24"/>
    </w:rPr>
  </w:style>
  <w:style w:type="character" w:styleId="15">
    <w:name w:val="Hyperlink"/>
    <w:qFormat/>
    <w:uiPriority w:val="99"/>
    <w:rPr>
      <w:rFonts w:cs="Times New Roman"/>
      <w:color w:val="2255FF"/>
      <w:u w:val="none"/>
    </w:rPr>
  </w:style>
  <w:style w:type="paragraph" w:customStyle="1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No Spacing"/>
    <w:link w:val="25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9">
    <w:name w:val="标题 1 Char Char"/>
    <w:link w:val="2"/>
    <w:qFormat/>
    <w:uiPriority w:val="99"/>
    <w:rPr>
      <w:rFonts w:ascii="仿宋_GB2312" w:eastAsia="宋体" w:cs="Times New Roman"/>
      <w:b/>
      <w:bCs/>
      <w:sz w:val="24"/>
      <w:szCs w:val="24"/>
      <w:lang w:val="en-US" w:eastAsia="zh-CN" w:bidi="ar-SA"/>
    </w:rPr>
  </w:style>
  <w:style w:type="character" w:customStyle="1" w:styleId="20">
    <w:name w:val="标题 2 Char Char"/>
    <w:link w:val="3"/>
    <w:qFormat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3 Char Char"/>
    <w:link w:val="4"/>
    <w:qFormat/>
    <w:uiPriority w:val="99"/>
    <w:rPr>
      <w:rFonts w:ascii="Tahoma" w:hAnsi="Tahoma" w:eastAsia="宋体" w:cs="Times New Roman"/>
      <w:bCs/>
      <w:sz w:val="32"/>
      <w:szCs w:val="32"/>
    </w:rPr>
  </w:style>
  <w:style w:type="character" w:customStyle="1" w:styleId="22">
    <w:name w:val="批注框文本 Char Char"/>
    <w:link w:val="8"/>
    <w:qFormat/>
    <w:uiPriority w:val="99"/>
    <w:rPr>
      <w:rFonts w:ascii="Tahoma" w:hAnsi="Tahoma" w:cs="Times New Roman"/>
      <w:sz w:val="18"/>
      <w:szCs w:val="18"/>
    </w:rPr>
  </w:style>
  <w:style w:type="character" w:customStyle="1" w:styleId="23">
    <w:name w:val="页眉 Char Char"/>
    <w:link w:val="10"/>
    <w:qFormat/>
    <w:uiPriority w:val="99"/>
    <w:rPr>
      <w:rFonts w:ascii="Tahoma" w:hAnsi="Tahoma" w:cs="Times New Roman"/>
      <w:sz w:val="18"/>
      <w:szCs w:val="18"/>
    </w:rPr>
  </w:style>
  <w:style w:type="character" w:customStyle="1" w:styleId="24">
    <w:name w:val="页脚 Char Char"/>
    <w:link w:val="9"/>
    <w:qFormat/>
    <w:uiPriority w:val="99"/>
    <w:rPr>
      <w:rFonts w:ascii="Tahoma" w:hAnsi="Tahoma" w:cs="Times New Roman"/>
      <w:sz w:val="18"/>
      <w:szCs w:val="18"/>
    </w:rPr>
  </w:style>
  <w:style w:type="character" w:customStyle="1" w:styleId="25">
    <w:name w:val="无间隔 Char"/>
    <w:link w:val="18"/>
    <w:qFormat/>
    <w:locked/>
    <w:uiPriority w:val="99"/>
    <w:rPr>
      <w:rFonts w:eastAsia="宋体" w:cs="Times New Roman"/>
      <w:sz w:val="22"/>
      <w:szCs w:val="22"/>
      <w:lang w:val="en-US" w:eastAsia="zh-CN" w:bidi="ar-SA"/>
    </w:rPr>
  </w:style>
  <w:style w:type="character" w:customStyle="1" w:styleId="26">
    <w:name w:val="正文文本缩进 Char Char"/>
    <w:link w:val="6"/>
    <w:qFormat/>
    <w:uiPriority w:val="99"/>
    <w:rPr>
      <w:rFonts w:ascii="Tahoma" w:hAnsi="Tahoma" w:cs="Times New Roman"/>
      <w:kern w:val="0"/>
      <w:sz w:val="22"/>
    </w:rPr>
  </w:style>
  <w:style w:type="paragraph" w:customStyle="1" w:styleId="27">
    <w:name w:val="表格样式 2"/>
    <w:qFormat/>
    <w:uiPriority w:val="0"/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28">
    <w:name w:val="表格样式 1"/>
    <w:qFormat/>
    <w:uiPriority w:val="0"/>
    <w:rPr>
      <w:rFonts w:ascii="Helvetica" w:hAnsi="Helvetica" w:eastAsia="Helvetica" w:cs="Helvetica"/>
      <w:b/>
      <w:bCs/>
      <w:color w:val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301</Words>
  <Characters>1722</Characters>
  <Lines>14</Lines>
  <Paragraphs>4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2014-04-30T02:52:00Z</dcterms:created>
  <dc:creator>My</dc:creator>
  <cp:lastModifiedBy>宣宣</cp:lastModifiedBy>
  <cp:lastPrinted>2014-06-13T00:23:00Z</cp:lastPrinted>
  <dcterms:modified xsi:type="dcterms:W3CDTF">2018-03-16T02:27:00Z</dcterms:modified>
  <dc:title>银 行 代 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