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A2E40"/>
          <w:sz w:val="44"/>
          <w:szCs w:val="44"/>
        </w:rPr>
        <w:t xml:space="preserve">数据合规与隐私保护说明</w:t>
      </w:r>
    </w:p>
    <w:p>
      <w:pPr>
        <w:spacing w:after="240"/>
      </w:pPr>
      <w:r>
        <w:rPr>
          <w:color w:val="8A8A8A"/>
          <w:sz w:val="22"/>
          <w:szCs w:val="22"/>
        </w:rPr>
        <w:t xml:space="preserve">她健康 · PCOS 伴侣 ｜ 赛道 D（Social Good）必需</w:t>
      </w:r>
    </w:p>
    <w:p>
      <w:pPr>
        <w:spacing w:after="100"/>
      </w:pPr>
      <w:r>
        <w:t xml:space="preserve">PCOS 数据属于敏感个人健康信息，本项目从架构到实现都以『最小必要 + 不出域 + 可删除』为原则设计。</w:t>
      </w:r>
    </w:p>
    <w:p>
      <w:pPr>
        <w:pStyle w:val="Heading1"/>
      </w:pPr>
      <w:r>
        <w:t xml:space="preserve">一、数据来源的合规性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860"/>
      </w:tblGrid>
      <w:tr>
        <w:tc>
          <w:tcPr>
            <w:tcW w:type="dxa" w:w="17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3EC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8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3EC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来源</w:t>
            </w:r>
          </w:p>
        </w:tc>
        <w:tc>
          <w:tcPr>
            <w:tcW w:type="dxa" w:w="386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3EC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合规说明</w:t>
            </w:r>
          </w:p>
        </w:tc>
      </w:tr>
      <w:tr>
        <w:tc>
          <w:tcPr>
            <w:tcW w:type="dxa" w:w="17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模型知识库</w:t>
            </w:r>
          </w:p>
        </w:tc>
        <w:tc>
          <w:tcPr>
            <w:tcW w:type="dxa" w:w="38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公开权威指南：中华医学会《PCOS 中国诊疗指南》、WHO 事实清单、The Lancet/ECE 2026 共识、Rotterdam 标准、PubMed 公开荟萃分析</w:t>
            </w:r>
          </w:p>
        </w:tc>
        <w:tc>
          <w:tcPr>
            <w:tcW w:type="dxa" w:w="386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仅使用公开发表的循证资料，每条标注 source 可溯源；不含受版权保护的整段原文，均为要点转述</w:t>
            </w:r>
          </w:p>
        </w:tc>
      </w:tr>
      <w:tr>
        <w:tc>
          <w:tcPr>
            <w:tcW w:type="dxa" w:w="17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模型权重</w:t>
            </w:r>
          </w:p>
        </w:tc>
        <w:tc>
          <w:tcPr>
            <w:tcW w:type="dxa" w:w="38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Gemma 4（遵循其开源许可，自托管部署）</w:t>
            </w:r>
          </w:p>
        </w:tc>
        <w:tc>
          <w:tcPr>
            <w:tcW w:type="dxa" w:w="386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不调用任何第三方闭源大模型 API，权重与推理在本团队可控基础设施内</w:t>
            </w:r>
          </w:p>
        </w:tc>
      </w:tr>
      <w:tr>
        <w:tc>
          <w:tcPr>
            <w:tcW w:type="dxa" w:w="17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用户健康数据</w:t>
            </w:r>
          </w:p>
        </w:tc>
        <w:tc>
          <w:tcPr>
            <w:tcW w:type="dxa" w:w="38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用户在 App 内主动填写/对话产生</w:t>
            </w:r>
          </w:p>
        </w:tc>
        <w:tc>
          <w:tcPr>
            <w:tcW w:type="dxa" w:w="386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进入即获明示同意；化验单图片解析为逐次单独授权</w:t>
            </w:r>
          </w:p>
        </w:tc>
      </w:tr>
      <w:tr>
        <w:tc>
          <w:tcPr>
            <w:tcW w:type="dxa" w:w="17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竞品/市场数据</w:t>
            </w:r>
          </w:p>
        </w:tc>
        <w:tc>
          <w:tcPr>
            <w:tcW w:type="dxa" w:w="38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Store、公开报道、行业报告</w:t>
            </w:r>
          </w:p>
        </w:tc>
        <w:tc>
          <w:tcPr>
            <w:tcW w:type="dxa" w:w="386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仅用于产品研究文档，不进入用户数据链路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不采集：不爬取、不购买、不接入任何第三方个人数据；不做用户画像售卖。</w:t>
      </w:r>
    </w:p>
    <w:p>
      <w:pPr>
        <w:pStyle w:val="Heading1"/>
      </w:pPr>
      <w:r>
        <w:t xml:space="preserve">二、隐私保护措施</w:t>
      </w:r>
    </w:p>
    <w:p>
      <w:pPr>
        <w:pStyle w:val="Heading2"/>
      </w:pPr>
      <w:r>
        <w:t xml:space="preserve">2.1 数据最小化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仅收集与 PCOS 管理直接相关的字段；问卷与对话只记录必要的结构化要点。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多模态化验单：原图不存储，解析后仅保留脱敏的结构化指标，原图内存即焚。</w:t>
      </w:r>
    </w:p>
    <w:p>
      <w:pPr>
        <w:pStyle w:val="Heading2"/>
      </w:pPr>
      <w:r>
        <w:t xml:space="preserve">2.2 假名化与去标识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入口处用带 pepper 的 HMAC-SHA256 把微信 openid 不可逆转换为内部 user_id，库内不存 openid 明文。</w:t>
      </w:r>
    </w:p>
    <w:p>
      <w:pPr>
        <w:pStyle w:val="Heading2"/>
      </w:pPr>
      <w:r>
        <w:t xml:space="preserve">2.3 加密存储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健康事件以 AES-GCM 加密落地，密钥不硬编码，生产从 KMS/环境变量注入，.env 不提交真实密钥。</w:t>
      </w:r>
    </w:p>
    <w:p>
      <w:pPr>
        <w:pStyle w:val="Heading2"/>
      </w:pPr>
      <w:r>
        <w:t xml:space="preserve">2.4 数据不出域（隐私优先架构）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默认全部在端侧 Gemma 4 4B 本地推理，敏感对话不离开设备/不出自有服务器。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仅多模态重任务在用户显式授权后走自托管云端 Gemma 4 26B MoE，全程不经任何第三方模型服务。</w:t>
      </w:r>
    </w:p>
    <w:p>
      <w:pPr>
        <w:pStyle w:val="Heading2"/>
      </w:pPr>
      <w:r>
        <w:t xml:space="preserve">2.5 被遗忘权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提供 POST /privacy/erase 与 erase_user()，用户可一键彻底删除全部数据。</w:t>
      </w:r>
    </w:p>
    <w:p>
      <w:pPr>
        <w:pStyle w:val="Heading2"/>
      </w:pPr>
      <w:r>
        <w:t xml:space="preserve">2.6 安全兜底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危机词（自伤/急症）在入口强制触发 escalate_to_crisis_support，引导心理援助热线/急诊；输出层红线纠偏，杜绝越界诊断与具体用药建议。</w:t>
      </w:r>
    </w:p>
    <w:p>
      <w:pPr>
        <w:pStyle w:val="Heading1"/>
      </w:pPr>
      <w:r>
        <w:t xml:space="preserve">三、合规边界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不提供医疗诊断、不开处方、不替代医生；定位为『健康信息管理工具』。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所有健康建议标注『仅供参考，不替代医嘱』，常驻免责声明。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正式上线前计划引入妇科医生对知识库做内容审核。</w:t>
      </w:r>
    </w:p>
    <w:p>
      <w:pPr>
        <w:pStyle w:val="Heading1"/>
      </w:pPr>
      <w:r>
        <w:t xml:space="preserve">四、与法规的对应（自评）</w:t>
      </w:r>
    </w:p>
    <w:p>
      <w:pPr>
        <w:spacing w:after="100"/>
      </w:pPr>
      <w:r>
        <w:t xml:space="preserve">本设计对照《个人信息保护法》中敏感个人信息处理的要求：单独同意（化验单逐次授权）、最小必要（字段最小化）、目的限定（仅用于本人健康管理）、安全保障（加密+假名化）、个人权利（可删除/可携带）。具体落地以正式法务评审为准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b/>
      <w:bCs/>
      <w:color w:val="3A2E4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C9B8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2026-06-08T13:14:10.128Z</dcterms:created>
  <dcterms:modified xsi:type="dcterms:W3CDTF">2026-06-08T13:14:10.128Z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