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for item in all_paragraph %}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item.0 }}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item.1 }}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item.2 }}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item.3 }}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item.4 }}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 endfor %}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