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3" w:tblpY="610"/>
        <w:tblOverlap w:val="never"/>
        <w:tblW w:w="181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2200"/>
        <w:gridCol w:w="2292"/>
        <w:gridCol w:w="2233"/>
        <w:gridCol w:w="1806"/>
        <w:gridCol w:w="3625"/>
        <w:gridCol w:w="3625"/>
      </w:tblGrid>
      <w:tr>
        <w:tblPrEx>
          <w:tblLayout w:type="fixed"/>
        </w:tblPrEx>
        <w:trPr>
          <w:gridAfter w:val="2"/>
          <w:wAfter w:w="7250" w:type="dxa"/>
          <w:trHeight w:val="560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6"/>
                <w:szCs w:val="36"/>
                <w:lang w:bidi="ar"/>
              </w:rPr>
              <w:t>佛山市南海香果林蔬果经营部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451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6"/>
                <w:szCs w:val="36"/>
                <w:lang w:bidi="ar"/>
              </w:rPr>
              <w:t>检测报告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47" w:hRule="atLeas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品种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送样日期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抑制率（%）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抽（送）样基数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检验结果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454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黑美人西瓜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16.74%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454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新疆香梨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13.97%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454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皇帝柑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15.66%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454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砂糖桔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17.23%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454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水晶富士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11.94%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</w:tbl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  <w:bookmarkStart w:id="0" w:name="_GoBack"/>
      <w:bookmarkEnd w:id="0"/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被检单位：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 xml:space="preserve">里水鲜果批发市场127档             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检测单位：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>佛山市南海香果林蔬果经营部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检验人：______________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批准人：______________</w:t>
      </w:r>
    </w:p>
    <w:p>
      <w:pPr>
        <w:pStyle w:val="2"/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检验日期：_______年_____月_____日</w:t>
      </w:r>
    </w:p>
    <w:p>
      <w:pPr>
        <w:rPr>
          <w:sz w:val="28"/>
          <w:szCs w:val="36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entury Gothic">
    <w:altName w:val="苹方-简"/>
    <w:panose1 w:val="020B0502020202020204"/>
    <w:charset w:val="00"/>
    <w:family w:val="swiss"/>
    <w:pitch w:val="default"/>
    <w:sig w:usb0="00000000" w:usb1="00000000" w:usb2="00000000" w:usb3="00000000" w:csb0="2000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 Ni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rial Narrow">
    <w:panose1 w:val="020B06060202020A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宋体 Std L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圆体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EEF07"/>
    <w:rsid w:val="5FBDE3AC"/>
    <w:rsid w:val="61FF4A4A"/>
    <w:rsid w:val="CBDB940B"/>
    <w:rsid w:val="FD7E509F"/>
    <w:rsid w:val="FE6EE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2021-01-05T05:02:00Z</dcterms:created>
  <dc:creator>mac</dc:creator>
  <cp:lastModifiedBy>mac</cp:lastModifiedBy>
  <dcterms:modified xsi:type="dcterms:W3CDTF">2021-01-19T15:56:53Z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