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Otto Lead Scoring</w:t>
      </w:r>
    </w:p>
    <w:p>
      <w:pPr>
        <w:spacing w:after="1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Current State vs Future State with VIN-Level Tracking</w:t>
      </w:r>
    </w:p>
    <w:p>
      <w:pPr>
        <w:pBdr>
          <w:bottom w:val="single" w:color="1B2A4A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CURRENT MODEL  —  Single Monthly Snapshot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555555"/>
          <w:sz w:val="15"/>
          <w:szCs w:val="15"/>
        </w:rPr>
        <w:t xml:space="preserve">Data source: 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One website scrape of 597 dealer inventories across 12 states. Inventory counts + body types + Smyrna VIN matching.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84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Measures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Smyrna Penetration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30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% of dealer inventory that is Smyrna-built (VIN prefix + body builder field)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Product Fit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25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% of inventory in body types Smyrna manufactures (flatbeds, service trucks, etc.)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Growth Signal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25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Month-over-month total inventory change (grew, flat, or declined)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Fleet Scale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Raw dealer inventory size (200+ units = max points)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333333"/>
          <w:sz w:val="15"/>
          <w:szCs w:val="15"/>
        </w:rPr>
        <w:t xml:space="preserve">Tiers:  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Hot (70+)  ·  Warm (40–69)  ·  Cold (&lt;40)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E65100"/>
          <w:sz w:val="16"/>
          <w:szCs w:val="1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333333"/>
          <w:sz w:val="15"/>
          <w:szCs w:val="15"/>
        </w:rPr>
        <w:t xml:space="preserve">Growth is blunt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— only knows if inventory grew or shrank, not selling speed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333333"/>
          <w:sz w:val="15"/>
          <w:szCs w:val="15"/>
        </w:rPr>
        <w:t xml:space="preserve">No velocity data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— no way to tell if units are moving or sitting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333333"/>
          <w:sz w:val="15"/>
          <w:szCs w:val="15"/>
        </w:rPr>
        <w:t xml:space="preserve">Penetration is static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— single point-in-time, no trend direction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333333"/>
          <w:sz w:val="15"/>
          <w:szCs w:val="15"/>
        </w:rPr>
        <w:t xml:space="preserve">No sales data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— we see what’s listed, not what sold</w:t>
      </w:r>
    </w:p>
    <w:p>
      <w:pPr>
        <w:pBdr>
          <w:bottom w:val="single" w:color="2E7D32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FUTURE MODEL  —  VIN-Level Tracking (3+ Scrapes)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555555"/>
          <w:sz w:val="15"/>
          <w:szCs w:val="15"/>
        </w:rPr>
        <w:t xml:space="preserve">Data source: 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Every VIN tracked from first appearance to disappearance. Disappeared VINs = proxy for sales. New VINs = restocking activity.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84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Pts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Measures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Smyrna Velocity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30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How fast Smyrna units sell vs market average — fast turnover = repeat buyer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Product Demand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25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Body types selling fastest at this dealer, weighted toward Smyrna catalog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Buying Activity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25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New VINs arriving per period — restocking = active purchasing, net flow + speed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Market Position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Inventory size + dealer’s share of local market by body type</w:t>
            </w:r>
          </w:p>
        </w:tc>
      </w:tr>
    </w:tbl>
    <w:p>
      <w:pPr>
        <w:spacing w:after="30" w:before="120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New Metrics Unlocked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Turnover Rate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— VINs lost / total per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Days on Lot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— avg time a VIN stays 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Seasonal Trends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— buying cycles, budget season</w:t>
            </w:r>
          </w:p>
        </w:tc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Smyrna vs Market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— our sell-through vs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Restock Patterns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— same body types restocked = demand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Churn Detection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— lost Smyrna without restock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What Changes for the Sales Rep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E65100" w:sz="2"/>
              <w:left w:val="single" w:color="E65100" w:sz="2"/>
              <w:bottom w:val="single" w:color="E0E0E0" w:sz="1"/>
              <w:right w:val="single" w:color="E0E0E0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TODAY:  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“This dealer has 200 trucks, 3% are Smyrna, they grew last month.”  →  Score: 74</w:t>
            </w:r>
          </w:p>
        </w:tc>
      </w:tr>
      <w:tr>
        <w:tc>
          <w:tcPr>
            <w:tcW w:type="dxa" w:w="10440"/>
            <w:tcBorders>
              <w:top w:val="single" w:color="E0E0E0" w:sz="1"/>
              <w:left w:val="single" w:color="2E7D32" w:sz="2"/>
              <w:bottom w:val="single" w:color="2E7D32" w:sz="2"/>
              <w:right w:val="single" w:color="E0E0E0" w:sz="1"/>
            </w:tcBorders>
            <w:shd w:fill="F0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FUTURE:  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“Turns inventory every 22 days, Smyrna sells 40% faster than competitors, restocks flatbeds monthly, penetration climbed 3% → 8% over 3 months.”  →  Score: 88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Timeline:  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Each monthly scrape adds resolution. By June 2026 (3 scrapes), velocity and trend metrics become statistically meaningful.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3" w:space="6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COMVOY</w:t>
    </w:r>
    <w:r>
      <w:rPr>
        <w:rFonts w:ascii="Arial" w:cs="Arial" w:eastAsia="Arial" w:hAnsi="Arial"/>
        <w:color w:val="888888"/>
        <w:sz w:val="16"/>
        <w:szCs w:val="16"/>
      </w:rPr>
      <w:t xml:space="preserve">  |  Otto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2026-03-16T14:45:36.579Z</dcterms:created>
  <dcterms:modified xsi:type="dcterms:W3CDTF">2026-03-16T14:45:36.580Z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