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MdPipe fixture</w:t>
      </w:r>
    </w:p>
    <w:p>
      <w:r>
        <w:t xml:space="preserve">Un párrafo con acentos, para ver si la codificación sobrevive.</w:t>
      </w:r>
    </w:p>
    <w:tbl>
      <w:tblPr/>
      <w:tr>
        <w:tc>
          <w:tcPr/>
          <w:p>
            <w:r>
              <w:t xml:space="preserve">Format</w:t>
            </w:r>
          </w:p>
        </w:tc>
        <w:tc>
          <w:tcPr/>
          <w:p>
            <w:r>
              <w:t xml:space="preserve">Reads</w:t>
            </w:r>
          </w:p>
        </w:tc>
      </w:tr>
      <w:tr>
        <w:tc>
          <w:tcPr/>
          <w:p>
            <w:r>
              <w:t xml:space="preserve">PDF</w:t>
            </w:r>
          </w:p>
        </w:tc>
        <w:tc>
          <w:tcPr/>
          <w:p>
            <w:r>
              <w:t xml:space="preserve">yes</w:t>
            </w:r>
          </w:p>
        </w:tc>
      </w:tr>
    </w:tbl>
  </w:body>
</w:document>
</file>