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sz w:val="26"/>
          <w:szCs w:val="26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before="0" w:line="276" w:lineRule="auto"/>
        <w:jc w:val="left"/>
        <w:rPr>
          <w:rFonts w:ascii="Raleway" w:cs="Raleway" w:eastAsia="Raleway" w:hAnsi="Raleway"/>
          <w:color w:val="3098be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Olá candidato, o objetivo deste desafio é testar os seus conhecimentos sobre a resolução de problemas de análise de dados e aplicação de modelos preditivos. Queremos testar seus conhecimentos dos conceitos estatísticos de modelos preditivos,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9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Seu objetivo é prever o </w:t>
      </w:r>
      <w:r w:rsidDel="00000000" w:rsidR="00000000" w:rsidRPr="00000000">
        <w:rPr>
          <w:i w:val="1"/>
          <w:rtl w:val="0"/>
        </w:rPr>
        <w:t xml:space="preserve">churn</w:t>
      </w:r>
      <w:r w:rsidDel="00000000" w:rsidR="00000000" w:rsidRPr="00000000">
        <w:rPr>
          <w:rtl w:val="0"/>
        </w:rPr>
        <w:t xml:space="preserve"> (abandono de clientes) de um banco de dados fictício de uma instituição financeira. Para isso são fornecidos dois </w:t>
      </w:r>
      <w:r w:rsidDel="00000000" w:rsidR="00000000" w:rsidRPr="00000000">
        <w:rPr>
          <w:i w:val="1"/>
          <w:rtl w:val="0"/>
        </w:rPr>
        <w:t xml:space="preserve">datasets</w:t>
      </w:r>
      <w:r w:rsidDel="00000000" w:rsidR="00000000" w:rsidRPr="00000000">
        <w:rPr>
          <w:rtl w:val="0"/>
        </w:rPr>
        <w:t xml:space="preserve">: um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chamado </w:t>
      </w:r>
      <w:r w:rsidDel="00000000" w:rsidR="00000000" w:rsidRPr="00000000">
        <w:rPr>
          <w:b w:val="1"/>
          <w:rtl w:val="0"/>
        </w:rPr>
        <w:t xml:space="preserve">Abandono_clientes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composto por 10000 linhas e 13 colunas de informação (</w:t>
      </w:r>
      <w:r w:rsidDel="00000000" w:rsidR="00000000" w:rsidRPr="00000000">
        <w:rPr>
          <w:i w:val="1"/>
          <w:rtl w:val="0"/>
        </w:rPr>
        <w:t xml:space="preserve">features)</w:t>
      </w:r>
      <w:r w:rsidDel="00000000" w:rsidR="00000000" w:rsidRPr="00000000">
        <w:rPr>
          <w:rtl w:val="0"/>
        </w:rPr>
        <w:t xml:space="preserve">, sendo uma coluna </w:t>
      </w:r>
      <w:r w:rsidDel="00000000" w:rsidR="00000000" w:rsidRPr="00000000">
        <w:rPr>
          <w:rtl w:val="0"/>
        </w:rPr>
        <w:t xml:space="preserve">“Exited”</w:t>
      </w:r>
      <w:r w:rsidDel="00000000" w:rsidR="00000000" w:rsidRPr="00000000">
        <w:rPr>
          <w:rtl w:val="0"/>
        </w:rPr>
        <w:t xml:space="preserve"> composta por dados binários: 1 se o cliente abandonou o banco, 0 se não.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 segundo dataset possui 1000 linhas e 12 colunas e não possui a coluna “Exited”. </w:t>
      </w:r>
      <w:r w:rsidDel="00000000" w:rsidR="00000000" w:rsidRPr="00000000">
        <w:rPr>
          <w:b w:val="1"/>
          <w:rtl w:val="0"/>
        </w:rPr>
        <w:t xml:space="preserve">Seu objetivo é prever essa coluna a partir dos dados enviados e nos enviar para avaliação dos resultados.</w:t>
      </w:r>
    </w:p>
    <w:p w:rsidR="00000000" w:rsidDel="00000000" w:rsidP="00000000" w:rsidRDefault="00000000" w:rsidRPr="00000000" w14:paraId="0000000A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Descreva graficamente os dados disponíveis, apresentando as principais estatísticas descritivas. Comente o porquê da escolha dessas estatísticas.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do </w:t>
      </w:r>
      <w:r w:rsidDel="00000000" w:rsidR="00000000" w:rsidRPr="00000000">
        <w:rPr>
          <w:b w:val="1"/>
          <w:rtl w:val="0"/>
        </w:rPr>
        <w:t xml:space="preserve">Churn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Envie o resultado final do modelo em uma planilha com apenas duas colunas </w:t>
      </w:r>
      <w:r w:rsidDel="00000000" w:rsidR="00000000" w:rsidRPr="00000000">
        <w:rPr>
          <w:rtl w:val="0"/>
        </w:rPr>
        <w:t xml:space="preserve">(rowNumber,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predictedValues).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9g0syf2em351" w:id="5"/>
      <w:bookmarkEnd w:id="5"/>
      <w:r w:rsidDel="00000000" w:rsidR="00000000" w:rsidRPr="00000000">
        <w:rPr>
          <w:rtl w:val="0"/>
        </w:rPr>
        <w:t xml:space="preserve">Prazo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360" w:lineRule="auto"/>
        <w:rPr/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  </w:t>
      </w:r>
    </w:p>
    <w:p w:rsidR="00000000" w:rsidDel="00000000" w:rsidP="00000000" w:rsidRDefault="00000000" w:rsidRPr="00000000" w14:paraId="00000015">
      <w:pPr>
        <w:spacing w:before="0" w:line="360" w:lineRule="auto"/>
        <w:rPr>
          <w:b w:val="1"/>
        </w:rPr>
      </w:pPr>
      <w:r w:rsidDel="00000000" w:rsidR="00000000" w:rsidRPr="00000000">
        <w:rPr>
          <w:rtl w:val="0"/>
        </w:rPr>
        <w:t xml:space="preserve">Envie o seu relatório dentro da sua data limite para o </w:t>
      </w:r>
      <w:r w:rsidDel="00000000" w:rsidR="00000000" w:rsidRPr="00000000">
        <w:rPr>
          <w:rtl w:val="0"/>
        </w:rPr>
        <w:t xml:space="preserve">e-mail: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fbfbfb" w:val="clear"/>
          <w:rtl w:val="0"/>
        </w:rPr>
        <w:t xml:space="preserve">selecao.lighthouse@indicium.tech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360" w:lineRule="auto"/>
        <w:rPr/>
      </w:pPr>
      <w:r w:rsidDel="00000000" w:rsidR="00000000" w:rsidRPr="00000000">
        <w:rPr>
          <w:rtl w:val="0"/>
        </w:rPr>
        <w:t xml:space="preserve">Bom trabalho!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ind w:right="19.8095703125"/>
        <w:rPr>
          <w:rFonts w:ascii="Titillium Web SemiBold" w:cs="Titillium Web SemiBold" w:eastAsia="Titillium Web SemiBold" w:hAnsi="Titillium Web SemiBold"/>
          <w:color w:val="e40134"/>
          <w:sz w:val="48.04030227661133"/>
          <w:szCs w:val="48.040302276611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ind w:right="19.8095703125"/>
        <w:rPr>
          <w:rFonts w:ascii="Titillium Web SemiBold" w:cs="Titillium Web SemiBold" w:eastAsia="Titillium Web SemiBold" w:hAnsi="Titillium Web SemiBold"/>
          <w:color w:val="e40134"/>
          <w:sz w:val="48.04030227661133"/>
          <w:szCs w:val="48.0403022766113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tillium Web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itillium Web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Titillium Web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1C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1D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1F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20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>
        <w:rFonts w:ascii="Titillium Web SemiBold" w:cs="Titillium Web SemiBold" w:eastAsia="Titillium Web SemiBold" w:hAnsi="Titillium Web SemiBold"/>
        <w:color w:val="e40134"/>
        <w:sz w:val="44"/>
        <w:szCs w:val="4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TitilliumWeb-boldItalic.ttf"/><Relationship Id="rId22" Type="http://schemas.openxmlformats.org/officeDocument/2006/relationships/font" Target="fonts/RobotoLight-bold.ttf"/><Relationship Id="rId21" Type="http://schemas.openxmlformats.org/officeDocument/2006/relationships/font" Target="fonts/RobotoLight-regular.ttf"/><Relationship Id="rId24" Type="http://schemas.openxmlformats.org/officeDocument/2006/relationships/font" Target="fonts/RobotoLight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TitilliumWebSemiBold-regular.ttf"/><Relationship Id="rId2" Type="http://schemas.openxmlformats.org/officeDocument/2006/relationships/font" Target="fonts/TitilliumWebSemiBold-bold.ttf"/><Relationship Id="rId3" Type="http://schemas.openxmlformats.org/officeDocument/2006/relationships/font" Target="fonts/TitilliumWebSemiBold-italic.ttf"/><Relationship Id="rId4" Type="http://schemas.openxmlformats.org/officeDocument/2006/relationships/font" Target="fonts/TitilliumWebSemiBold-boldItalic.ttf"/><Relationship Id="rId9" Type="http://schemas.openxmlformats.org/officeDocument/2006/relationships/font" Target="fonts/Roboto-regular.ttf"/><Relationship Id="rId26" Type="http://schemas.openxmlformats.org/officeDocument/2006/relationships/font" Target="fonts/TitilliumWebLight-bold.ttf"/><Relationship Id="rId25" Type="http://schemas.openxmlformats.org/officeDocument/2006/relationships/font" Target="fonts/TitilliumWebLight-regular.ttf"/><Relationship Id="rId28" Type="http://schemas.openxmlformats.org/officeDocument/2006/relationships/font" Target="fonts/TitilliumWebLight-boldItalic.ttf"/><Relationship Id="rId27" Type="http://schemas.openxmlformats.org/officeDocument/2006/relationships/font" Target="fonts/TitilliumWebLight-italic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RobotoMedium-regular.ttf"/><Relationship Id="rId12" Type="http://schemas.openxmlformats.org/officeDocument/2006/relationships/font" Target="fonts/Roboto-boldItalic.ttf"/><Relationship Id="rId15" Type="http://schemas.openxmlformats.org/officeDocument/2006/relationships/font" Target="fonts/RobotoMedium-italic.ttf"/><Relationship Id="rId14" Type="http://schemas.openxmlformats.org/officeDocument/2006/relationships/font" Target="fonts/RobotoMedium-bold.ttf"/><Relationship Id="rId17" Type="http://schemas.openxmlformats.org/officeDocument/2006/relationships/font" Target="fonts/TitilliumWeb-regular.ttf"/><Relationship Id="rId16" Type="http://schemas.openxmlformats.org/officeDocument/2006/relationships/font" Target="fonts/RobotoMedium-boldItalic.ttf"/><Relationship Id="rId19" Type="http://schemas.openxmlformats.org/officeDocument/2006/relationships/font" Target="fonts/TitilliumWeb-italic.ttf"/><Relationship Id="rId18" Type="http://schemas.openxmlformats.org/officeDocument/2006/relationships/font" Target="fonts/TitilliumWeb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