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NOTICE ADMINISTRATEUR — AUDIT BOVIN GDS 32-65</w:t>
      </w:r>
    </w:p>
    <w:p>
      <w:pPr>
        <w:jc w:val="center"/>
      </w:pPr>
      <w:r>
        <w:rPr>
          <w:b/>
          <w:color w:val="667085"/>
          <w:sz w:val="24"/>
        </w:rPr>
        <w:t>Référentiel complet : données, calculs, paramètres, exports, sécurité et maintenance</w:t>
      </w:r>
    </w:p>
    <w:p>
      <w:pPr>
        <w:jc w:val="center"/>
      </w:pPr>
      <w:r>
        <w:rPr>
          <w:sz w:val="18"/>
        </w:rPr>
        <w:t>Version 14.6.21.68 — 29 août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7F5EA"/>
          </w:tcPr>
          <w:p>
            <w:r>
              <w:rPr>
                <w:b/>
                <w:color w:val="B53670"/>
              </w:rPr>
              <w:t xml:space="preserve">But de cette notice — </w:t>
            </w:r>
            <w:r>
              <w:t>Document de référence pour l’administratrice. Il décrit ce que l’application calcule, ce qui est modifiable, les limites d’interprétation et les contrôles à effectuer lors des mises à jour.</w:t>
            </w:r>
          </w:p>
        </w:tc>
      </w:tr>
    </w:tbl>
    <w:p/>
    <w:p>
      <w:pPr>
        <w:pStyle w:val="Heading1"/>
      </w:pPr>
      <w:r>
        <w:t>1. Architecture générale et logique de travail</w:t>
      </w:r>
    </w:p>
    <w:p>
      <w:pPr>
        <w:pStyle w:val="ListBullet"/>
      </w:pPr>
      <w:r>
        <w:t>Préparation : exploitations, visites, documents, imports, questionnaires éleveur, supports imprimables, données technico-économiques, reproduction/mortalité, météo et estimation économique.</w:t>
      </w:r>
    </w:p>
    <w:p>
      <w:pPr>
        <w:pStyle w:val="ListBullet"/>
      </w:pPr>
      <w:r>
        <w:t>Terrain : animaux, mesures, alimentation, bâtiment, audit global, photos et check-up de fin de visite.</w:t>
      </w:r>
    </w:p>
    <w:p>
      <w:pPr>
        <w:pStyle w:val="ListBullet"/>
      </w:pPr>
      <w:r>
        <w:t>Analyse / compte rendu : nutrition, reproduction, profils métaboliques, parasitisme, eau, assistant, plan d’action, rapports et revue croisée.</w:t>
      </w:r>
    </w:p>
    <w:p>
      <w:pPr>
        <w:pStyle w:val="ListBullet"/>
      </w:pPr>
      <w:r>
        <w:t>Suivi : évolution entre visites, marge de progrès, journal et pilotage des actions.</w:t>
      </w:r>
    </w:p>
    <w:p>
      <w:pPr>
        <w:pStyle w:val="Heading1"/>
      </w:pPr>
      <w:r>
        <w:t>2. Données et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FCEBF3"/>
          </w:tcPr>
          <w:p>
            <w:r/>
            <w:r>
              <w:rPr>
                <w:b/>
                <w:color w:val="B53670"/>
                <w:sz w:val="17"/>
              </w:rPr>
              <w:t>Source</w:t>
            </w:r>
          </w:p>
        </w:tc>
        <w:tc>
          <w:tcPr>
            <w:tcW w:type="dxa" w:w="3437"/>
            <w:shd w:fill="FCEBF3"/>
          </w:tcPr>
          <w:p>
            <w:r/>
            <w:r>
              <w:rPr>
                <w:b/>
                <w:color w:val="B53670"/>
                <w:sz w:val="17"/>
              </w:rPr>
              <w:t>Contenu utilisé</w:t>
            </w:r>
          </w:p>
        </w:tc>
        <w:tc>
          <w:tcPr>
            <w:tcW w:type="dxa" w:w="3437"/>
            <w:shd w:fill="FCEBF3"/>
          </w:tcPr>
          <w:p>
            <w:r/>
            <w:r>
              <w:rPr>
                <w:b/>
                <w:color w:val="B53670"/>
                <w:sz w:val="17"/>
              </w:rPr>
              <w:t>Précaution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Registre bovins / mouvements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présence, sexe, naissance, entrée/sortie, cause, mère/père, vêlages et historique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Ne jamais confondre naissance et introduction. Introductions retenues : ACHAT et PENSION.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CSV technico-économique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N, N-1, N-2 : naissances, mortalité, IVV, avortements, productivité, structure…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Les avortements annuels ne sont pas datés : ne pas les rattacher artificiellement à un mois.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Questionnaire éleveur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qualitatif, conduite, documents, sanitaire, reproduction, économie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Les données déjà importées/calculées sont filtrées pour éviter de les redemander.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Météo-France / data.gouv.fr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RR, TN, TX, TM par station et date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Utiliser les fichiers RR-T-Vent 32/65. Choisir une station représentative.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Mesures terrain / labo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urines, sang, bouses, eau, colostrum, parasitisme, oligo…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Toujours valider la méthode, l’unité, le labo et le contexte.</w:t>
            </w:r>
          </w:p>
        </w:tc>
      </w:tr>
    </w:tbl>
    <w:p/>
    <w:p>
      <w:pPr>
        <w:pStyle w:val="Heading1"/>
      </w:pPr>
      <w:r>
        <w:t>3. Reproduction — définitions et calculs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7F5EA"/>
          </w:tcPr>
          <w:p>
            <w:r>
              <w:rPr>
                <w:b/>
                <w:color w:val="B53670"/>
              </w:rPr>
              <w:t xml:space="preserve">Règle de lecture — </w:t>
            </w:r>
            <w:r>
              <w:t>Un IVV plus bas est favorable dans la limite de la cohérence biologique. Une baisse d’IVV ne doit jamais être interprétée comme une dégradation.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FCEBF3"/>
          </w:tcPr>
          <w:p>
            <w:r/>
            <w:r>
              <w:rPr>
                <w:b/>
                <w:color w:val="B53670"/>
                <w:sz w:val="17"/>
              </w:rPr>
              <w:t>Indicateur</w:t>
            </w:r>
          </w:p>
        </w:tc>
        <w:tc>
          <w:tcPr>
            <w:tcW w:type="dxa" w:w="3437"/>
            <w:shd w:fill="FCEBF3"/>
          </w:tcPr>
          <w:p>
            <w:r/>
            <w:r>
              <w:rPr>
                <w:b/>
                <w:color w:val="B53670"/>
                <w:sz w:val="17"/>
              </w:rPr>
              <w:t>Calcul / règle</w:t>
            </w:r>
          </w:p>
        </w:tc>
        <w:tc>
          <w:tcPr>
            <w:tcW w:type="dxa" w:w="3437"/>
            <w:shd w:fill="FCEBF3"/>
          </w:tcPr>
          <w:p>
            <w:r/>
            <w:r>
              <w:rPr>
                <w:b/>
                <w:color w:val="B53670"/>
                <w:sz w:val="17"/>
              </w:rPr>
              <w:t>Interprétation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IVV individuel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jours entre deux vêlages successifs d’une même vache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Classes de lecture : ≤400 ; 401-450 ; 451-500 ; &gt;500 j.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Âge au 1er vêlage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date 1er vêlage - date naissance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≤28 mois : cible ; 29-36 : pénalité ; &gt;36 : pénalité forte dans le score.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Femelle &gt;36 mois sans vêlage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femelle présente &gt;36 mois sans vêlage enregistré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Alerte prioritaire à investiguer.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Score vache repro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100 pts moins pénalités âge 1er vêlage, IVV moyen/maxi, mortalité veaux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Le détail « Pourquoi ? » doit être visible dans les listes et imprimables.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Paternité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pères renseignés dans les naissances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Absence de paternité = donnée non suivie, pas anomalie. Taureaux d’exploitation détaillés ; IA/extérieurs comptés sans longue liste.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Taureaux / lots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nombre de femelles réellement accessibles par taureau et durée de contact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Le ratio global n’est pas suffisant si les femelles sont réparties en lots.</w:t>
            </w:r>
          </w:p>
        </w:tc>
      </w:tr>
    </w:tbl>
    <w:p/>
    <w:p>
      <w:r>
        <w:t>Score reproduction vache actuel : 100 points au départ. 1er vêlage 29-36 mois : -8 ; &gt;36 mois : -20. IVV moyen 401-450 : -10 ; 451-500 : -20 ; &gt;500 : -30. IVV maximum 501-730 : -8 ; &gt;730 : -15. Veau mort avant 6 mois : -12 par veau, plafond -30. Score minimum 0. Lecture : ≥75 vert, 60-74 orange, &lt;60 rouge.</w:t>
      </w:r>
    </w:p>
    <w:p>
      <w:pPr>
        <w:pStyle w:val="Heading1"/>
      </w:pPr>
      <w:r>
        <w:t>4. Chronologie des performances</w:t>
      </w:r>
    </w:p>
    <w:p>
      <w:pPr>
        <w:pStyle w:val="ListBullet"/>
      </w:pPr>
      <w:r>
        <w:t>La tendance générale peut être contrôlée avec des fenêtres glissantes de 12 mois afin d’éviter les conclusions sur 5 à 8 vêlages d’un trimestre.</w:t>
      </w:r>
    </w:p>
    <w:p>
      <w:pPr>
        <w:pStyle w:val="ListBullet"/>
      </w:pPr>
      <w:r>
        <w:t>L’analyse causale recherche surtout des fenêtres de retard de conception : date de conception attendue vs conception estimée à partir du vêlage suivant (gestation ≈283 j).</w:t>
      </w:r>
    </w:p>
    <w:p>
      <w:pPr>
        <w:pStyle w:val="ListBullet"/>
      </w:pPr>
      <w:r>
        <w:t>Lorsque plusieurs vaches accumulent du retard sur une même fenêtre, l’application croise cette période avec mortalités datées, introductions ACHAT/PENSION, événements sanitaires, alimentation/fourrages, avortements/mort-nés datés et météo.</w:t>
      </w:r>
    </w:p>
    <w:p>
      <w:pPr>
        <w:pStyle w:val="ListBullet"/>
      </w:pPr>
      <w:r>
        <w:t>Une coïncidence n’est jamais une preuve de causalité : le texte doit dire « piste à vérifier », « coïncidence », « à investiguer ».</w:t>
      </w:r>
    </w:p>
    <w:p>
      <w:pPr>
        <w:pStyle w:val="Heading1"/>
      </w:pPr>
      <w:r>
        <w:t>5. Mortalité et avortements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CEBF3"/>
          </w:tcPr>
          <w:p>
            <w:r/>
            <w:r>
              <w:rPr>
                <w:b/>
                <w:color w:val="B53670"/>
                <w:sz w:val="17"/>
              </w:rPr>
              <w:t>Élément</w:t>
            </w:r>
          </w:p>
        </w:tc>
        <w:tc>
          <w:tcPr>
            <w:tcW w:type="dxa" w:w="5156"/>
            <w:shd w:fill="FCEBF3"/>
          </w:tcPr>
          <w:p>
            <w:r/>
            <w:r>
              <w:rPr>
                <w:b/>
                <w:color w:val="B53670"/>
                <w:sz w:val="17"/>
              </w:rPr>
              <w:t>Règle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Mortalité veaux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croisement par classes d’âge ; focus &lt;6 mois dans la préparation repro.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Mortalité adultes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décès des bovins ≥24 mois, exploitable aussi économiquement.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Mort-né / prématurité probable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si événement à la naissance/0-2 j incohérent avec la date de vêlage précédente de la mère, signaler « probable à vérifier », jamais certain.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Avortement daté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peut être saisi comme événement historique et croisé avec la chronologie.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Avortements annuels importés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information annuelle seulement ; ne pas inventer de date.</w:t>
            </w:r>
          </w:p>
        </w:tc>
      </w:tr>
    </w:tbl>
    <w:p/>
    <w:p>
      <w:pPr>
        <w:pStyle w:val="Heading1"/>
      </w:pPr>
      <w:r>
        <w:t>6. Structure d’âge</w:t>
      </w:r>
    </w:p>
    <w:p>
      <w:pPr>
        <w:pStyle w:val="ListBullet"/>
      </w:pPr>
      <w:r>
        <w:t>Filtre reproduction par défaut : femelles &gt;36 mois. Raccourcis disponibles : 24-36 mois, &gt;36 mois, 3-5 ans, 5-8 ans, 8 ans et +, toutes ≥24 mois.</w:t>
      </w:r>
    </w:p>
    <w:p>
      <w:pPr>
        <w:pStyle w:val="ListBullet"/>
      </w:pPr>
      <w:r>
        <w:t>Âge moyen et âge maximum des femelles reproductrices sont affichés.</w:t>
      </w:r>
    </w:p>
    <w:p>
      <w:pPr>
        <w:pStyle w:val="ListBullet"/>
      </w:pPr>
      <w:r>
        <w:t>Le camembert / donut par âge exact (2 ans, 3 ans, 4 ans…) sert à repérer un troupeau très jeune ou très âgé.</w:t>
      </w:r>
    </w:p>
    <w:p>
      <w:pPr>
        <w:pStyle w:val="Heading1"/>
      </w:pPr>
      <w:r>
        <w:t>7. Gestion économique pré-visite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DF"/>
          </w:tcPr>
          <w:p>
            <w:r>
              <w:rPr>
                <w:b/>
                <w:color w:val="B53670"/>
              </w:rPr>
              <w:t xml:space="preserve">Positionnement — </w:t>
            </w:r>
            <w:r>
              <w:t>Ordre de grandeur pédagogique, pas comptabilité certifiée. Les hypothèses doivent rester visibles et modifiables.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CEBF3"/>
          </w:tcPr>
          <w:p>
            <w:r/>
            <w:r>
              <w:rPr>
                <w:b/>
                <w:color w:val="B53670"/>
                <w:sz w:val="17"/>
              </w:rPr>
              <w:t>Poste</w:t>
            </w:r>
          </w:p>
        </w:tc>
        <w:tc>
          <w:tcPr>
            <w:tcW w:type="dxa" w:w="5156"/>
            <w:shd w:fill="FCEBF3"/>
          </w:tcPr>
          <w:p>
            <w:r/>
            <w:r>
              <w:rPr>
                <w:b/>
                <w:color w:val="B53670"/>
                <w:sz w:val="17"/>
              </w:rPr>
              <w:t>Calcul actuel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Mortalité veaux excédentaire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décès observés - décès correspondant au repère de mortalité ; valorisation par valeur indicatrice du veau/broutard.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Décès adultes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nombre de décès ≥24 mois × perte nette paramétrée par décès.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Décalage IVV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somme des jours au-delà de l’IVV cible / 365 = équivalent veau(x) non produit(s), valorisé(s).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Non inclus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surcoût alimentaire, vétérinaire, traitements, analyses, main-d’œuvre, baisse de croissance, conséquences indirectes.</w:t>
            </w:r>
          </w:p>
        </w:tc>
      </w:tr>
    </w:tbl>
    <w:p/>
    <w:p>
      <w:r>
        <w:t>Repères préremplis : mortalité veaux 8 % par défaut (modifiable), IVV cible 400 j (modifiable), prix/poids du veau modifiables selon race et débouché. Les cotations servent uniquement de valeur de départ datée.</w:t>
      </w:r>
    </w:p>
    <w:p>
      <w:pPr>
        <w:pStyle w:val="Heading1"/>
      </w:pPr>
      <w:r>
        <w:t>8. Météo-France</w:t>
      </w:r>
    </w:p>
    <w:p>
      <w:pPr>
        <w:pStyle w:val="ListNumber"/>
      </w:pPr>
      <w:r>
        <w:t>Utiliser les fichiers quotidiens « RR-T-Vent » de data.gouv.fr.</w:t>
      </w:r>
    </w:p>
    <w:p>
      <w:pPr>
        <w:pStyle w:val="ListNumber"/>
      </w:pPr>
      <w:r>
        <w:t>Pour le Gers : Q_32_previous-1950-2024_RR-T-Vent.csv.gz et Q_32_latest-2025-2026_RR-T-Vent.csv.gz.</w:t>
      </w:r>
    </w:p>
    <w:p>
      <w:pPr>
        <w:pStyle w:val="ListNumber"/>
      </w:pPr>
      <w:r>
        <w:t>Pour les Hautes-Pyrénées : mêmes noms avec Q_65.</w:t>
      </w:r>
    </w:p>
    <w:p>
      <w:pPr>
        <w:pStyle w:val="ListNumber"/>
      </w:pPr>
      <w:r>
        <w:t>Les 4 fichiers sont inclus à la racine de cette version ; pour une mise à jour, remplacer les fichiers en conservant les noms attendus ou utiliser l’import manuel.</w:t>
      </w:r>
    </w:p>
    <w:p>
      <w:pPr>
        <w:pStyle w:val="ListNumber"/>
      </w:pPr>
      <w:r>
        <w:t>Choisir une station représentative de l’exploitation avant le croisement météo/repro/mortalité.</w:t>
      </w:r>
    </w:p>
    <w:p>
      <w:pPr>
        <w:pStyle w:val="Heading1"/>
      </w:pPr>
      <w:r>
        <w:t>9. Questionnaires éleveur</w:t>
      </w:r>
    </w:p>
    <w:p>
      <w:pPr>
        <w:pStyle w:val="ListBullet"/>
      </w:pPr>
      <w:r>
        <w:t>Pré-questionnaire : documents disponibles + questions qualitatives non déjà connues.</w:t>
      </w:r>
    </w:p>
    <w:p>
      <w:pPr>
        <w:pStyle w:val="ListBullet"/>
      </w:pPr>
      <w:r>
        <w:t>Questions restantes : uniquement les informations encore manquantes après la visite.</w:t>
      </w:r>
    </w:p>
    <w:p>
      <w:pPr>
        <w:pStyle w:val="ListBullet"/>
      </w:pPr>
      <w:r>
        <w:t>Les effectifs, IVV, mortalités et autres indicateurs déjà importés/calculés ne doivent pas être redemandés.</w:t>
      </w:r>
    </w:p>
    <w:p>
      <w:pPr>
        <w:pStyle w:val="ListBullet"/>
      </w:pPr>
      <w:r>
        <w:t>Reproduction : détection des chaleurs, retours, diagnostics, taureaux, fertilité, lots, nombre réel de femelles accessibles, durée de contact, IA/rattrapage, avortements, changements sanitaires/alimentaires.</w:t>
      </w:r>
    </w:p>
    <w:p>
      <w:pPr>
        <w:pStyle w:val="ListBullet"/>
      </w:pPr>
      <w:r>
        <w:t>Bâtiment : déclaratif éleveur = complément ; le constat technicien sur place reste prioritaire.</w:t>
      </w:r>
    </w:p>
    <w:p>
      <w:pPr>
        <w:pStyle w:val="Heading1"/>
      </w:pPr>
      <w:r>
        <w:t>10. Supports papier et exports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CEBF3"/>
          </w:tcPr>
          <w:p>
            <w:r/>
            <w:r>
              <w:rPr>
                <w:b/>
                <w:color w:val="B53670"/>
                <w:sz w:val="17"/>
              </w:rPr>
              <w:t>Document</w:t>
            </w:r>
          </w:p>
        </w:tc>
        <w:tc>
          <w:tcPr>
            <w:tcW w:type="dxa" w:w="5156"/>
            <w:shd w:fill="FCEBF3"/>
          </w:tcPr>
          <w:p>
            <w:r/>
            <w:r>
              <w:rPr>
                <w:b/>
                <w:color w:val="B53670"/>
                <w:sz w:val="17"/>
              </w:rPr>
              <w:t>Contenu attendu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Support papier complet préparé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échantillonnage, alimentation, bâtiment, audit avec éléments déjà connus préremplis.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Bilan préparatoire repro/mortalité/économie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structure, âges, IVV, mortalité, historique N/N-1/N-2, paternité, vaches à problème avec motifs, &gt;36m sans vêlage, chronologie croisée, estimation économique, questions ciblées.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Pré-questionnaire imprimable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uniquement les questions pertinentes et non déjà connues.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Rapport technique/expert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mesures brutes, observations, audit, reproduction, alimentation, bâtiment, données technico-éco, labo, analyses, raisonnement, photos.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Rapport éleveur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synthèse claire, conclusions, plan d’action ; pas de surcharge technique inutile.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Excel partenaire PASSAGE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remplit les feuilles prévues ; ne jamais écrire dans « Suivi tps et budget ».</w:t>
            </w:r>
          </w:p>
        </w:tc>
      </w:tr>
    </w:tbl>
    <w:p/>
    <w:p>
      <w:pPr>
        <w:pStyle w:val="Heading1"/>
      </w:pPr>
      <w:r>
        <w:t>11. Référentiels et seuils</w:t>
      </w:r>
    </w:p>
    <w:p>
      <w:pPr>
        <w:pStyle w:val="ListBullet"/>
      </w:pPr>
      <w:r>
        <w:t>Les seuils numériques sont modifiables dans Paramètres / Référentiels ; une valeur vide revient au seuil interne.</w:t>
      </w:r>
    </w:p>
    <w:p>
      <w:pPr>
        <w:pStyle w:val="ListBullet"/>
      </w:pPr>
      <w:r>
        <w:t>Les profils laboratoires oligo/vitamines sont versionnés dans le sens où les anciennes analyses conservent les seuils enregistrés, sauf application volontaire.</w:t>
      </w:r>
    </w:p>
    <w:p>
      <w:pPr>
        <w:pStyle w:val="ListBullet"/>
      </w:pPr>
      <w:r>
        <w:t>Conserver les qualificatifs &lt;, &gt;, ND et les unités originales lors des imports labo.</w:t>
      </w:r>
    </w:p>
    <w:p>
      <w:pPr>
        <w:pStyle w:val="ListBullet"/>
      </w:pPr>
      <w:r>
        <w:t>Parasitisme : ne jamais transformer &lt;39 ou &lt;53 en zéro.</w:t>
      </w:r>
    </w:p>
    <w:p>
      <w:pPr>
        <w:pStyle w:val="ListBullet"/>
      </w:pPr>
      <w:r>
        <w:t>Le moteur propose des interprétations ; le technicien valide le contexte clinique et la cohérence des données.</w:t>
      </w:r>
    </w:p>
    <w:p>
      <w:pPr>
        <w:pStyle w:val="Heading1"/>
      </w:pPr>
      <w:r>
        <w:t>12. Administration, sauvegarde et sécurité</w:t>
      </w:r>
    </w:p>
    <w:p>
      <w:pPr>
        <w:pStyle w:val="ListBullet"/>
      </w:pPr>
      <w:r>
        <w:t>Sauvegarde JSON complète avant toute migration importante.</w:t>
      </w:r>
    </w:p>
    <w:p>
      <w:pPr>
        <w:pStyle w:val="ListBullet"/>
      </w:pPr>
      <w:r>
        <w:t>Supabase/cloud : vérifier URL, clé, authentification et droits des profils.</w:t>
      </w:r>
    </w:p>
    <w:p>
      <w:pPr>
        <w:pStyle w:val="ListBullet"/>
      </w:pPr>
      <w:r>
        <w:t>PWA : lors d’une mise à jour GitHub, remplacer tous les fichiers du ZIP en conservant les fichiers requis à la racine.</w:t>
      </w:r>
    </w:p>
    <w:p>
      <w:pPr>
        <w:pStyle w:val="ListBullet"/>
      </w:pPr>
      <w:r>
        <w:t>Après mise à jour : rafraîchissement forcé, contrôle du numéro de version, test Accueil/Visites/Préparation, test d’un import, test d’un imprimable.</w:t>
      </w:r>
    </w:p>
    <w:p>
      <w:pPr>
        <w:pStyle w:val="ListBullet"/>
      </w:pPr>
      <w:r>
        <w:t>Ne jamais supprimer storage.js, utils.js, analysis-rules.js ou knowledge-base.js du dépôt si une version d’update ne les remplace pas.</w:t>
      </w:r>
    </w:p>
    <w:p>
      <w:pPr>
        <w:pStyle w:val="Heading1"/>
      </w:pPr>
      <w:r>
        <w:t>13. Contrôle qualité avant diffusion d’une nouvelle version</w:t>
      </w:r>
    </w:p>
    <w:p>
      <w:pPr>
        <w:pStyle w:val="ListNumber"/>
      </w:pPr>
      <w:r>
        <w:t>Syntaxe JavaScript et absence de déclarations dupliquées.</w:t>
      </w:r>
    </w:p>
    <w:p>
      <w:pPr>
        <w:pStyle w:val="ListNumber"/>
      </w:pPr>
      <w:r>
        <w:t>Ouverture et clic sur les principaux menus.</w:t>
      </w:r>
    </w:p>
    <w:p>
      <w:pPr>
        <w:pStyle w:val="ListNumber"/>
      </w:pPr>
      <w:r>
        <w:t>Persistance des saisies après changement de page.</w:t>
      </w:r>
    </w:p>
    <w:p>
      <w:pPr>
        <w:pStyle w:val="ListNumber"/>
      </w:pPr>
      <w:r>
        <w:t>Imports registre, technico-éco, labo et météo.</w:t>
      </w:r>
    </w:p>
    <w:p>
      <w:pPr>
        <w:pStyle w:val="ListNumber"/>
      </w:pPr>
      <w:r>
        <w:t>Tuiles cliquables et listes détaillées.</w:t>
      </w:r>
    </w:p>
    <w:p>
      <w:pPr>
        <w:pStyle w:val="ListNumber"/>
      </w:pPr>
      <w:r>
        <w:t>Pré-questionnaire et intégration des réponses.</w:t>
      </w:r>
    </w:p>
    <w:p>
      <w:pPr>
        <w:pStyle w:val="ListNumber"/>
      </w:pPr>
      <w:r>
        <w:t>Tous les imprimables/PDF : données récentes, intitulés cohérents, pas de calcul obsolète.</w:t>
      </w:r>
    </w:p>
    <w:p>
      <w:pPr>
        <w:pStyle w:val="ListNumber"/>
      </w:pPr>
      <w:r>
        <w:t>Rapports éleveur/technique/expert et Excel partenaire.</w:t>
      </w:r>
    </w:p>
    <w:p>
      <w:pPr>
        <w:pStyle w:val="ListNumber"/>
      </w:pPr>
      <w:r>
        <w:t>Mode hors ligne/PWA et service worker.</w:t>
      </w:r>
    </w:p>
    <w:p>
      <w:pPr>
        <w:pStyle w:val="ListNumber"/>
      </w:pPr>
      <w:r>
        <w:t>Sauvegarde/export JSON.</w:t>
      </w:r>
    </w:p>
    <w:p>
      <w:r>
        <w:br w:type="page"/>
      </w:r>
    </w:p>
    <w:p>
      <w:pPr>
        <w:pStyle w:val="Heading1"/>
      </w:pPr>
      <w:r>
        <w:t>ANNEXE TECHNIQUE — repères et modules d’analyse</w:t>
      </w:r>
    </w:p>
    <w:p>
      <w:pPr>
        <w:pStyle w:val="Heading2"/>
      </w:pPr>
      <w:r>
        <w:t>A. Eau et abreuvement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FCEBF3"/>
          </w:tcPr>
          <w:p>
            <w:r>
              <w:rPr>
                <w:b/>
                <w:color w:val="B53670"/>
                <w:sz w:val="16"/>
              </w:rPr>
              <w:t>Paramètre</w:t>
            </w:r>
          </w:p>
        </w:tc>
        <w:tc>
          <w:tcPr>
            <w:tcW w:type="dxa" w:w="3437"/>
            <w:shd w:fill="FCEBF3"/>
          </w:tcPr>
          <w:p>
            <w:r>
              <w:rPr>
                <w:b/>
                <w:color w:val="B53670"/>
                <w:sz w:val="16"/>
              </w:rPr>
              <w:t>Repère interne actuel</w:t>
            </w:r>
          </w:p>
        </w:tc>
        <w:tc>
          <w:tcPr>
            <w:tcW w:type="dxa" w:w="3437"/>
            <w:shd w:fill="FCEBF3"/>
          </w:tcPr>
          <w:p>
            <w:r>
              <w:rPr>
                <w:b/>
                <w:color w:val="B53670"/>
                <w:sz w:val="16"/>
              </w:rPr>
              <w:t>Lecture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pH bovins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&gt;5,5 et &lt;8,5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à croiser avec origine de l’eau, traitement et contexte.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Conductivité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200-1100 µS/cm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repère de minéralisation ; interprétation selon contexte.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COT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≈2 mg/L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indicateur de charge organique.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Dureté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2-25 °f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repère technique.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Redox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0-350 mV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à interpréter avec pH, température et prélèvement.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Nitrates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&lt;50 mg/L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repère eau de boisson.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Fer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&lt;200 µg/L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repère interne.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Manganèse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&lt;50 µg/L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repère interne.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Chlore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&lt;0,1 ppm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repère interne.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Ammonium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0,10 mg/L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repère interne.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E. coli / entérocoques / coliformes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0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absence attendue.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Flore 22 °C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&lt;10/mL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repère interne.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Flore 37 °C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&lt;100/mL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repère interne.</w:t>
            </w:r>
          </w:p>
        </w:tc>
      </w:tr>
    </w:tbl>
    <w:p/>
    <w:p>
      <w:r>
        <w:t>Les seuils restent modifiables dans les référentiels. Le prélèvement, le point d’eau, la purge, le stockage et le délai d’analyse doivent être pris en compte avant toute conclusion.</w:t>
      </w:r>
    </w:p>
    <w:p>
      <w:pPr>
        <w:pStyle w:val="Heading2"/>
      </w:pPr>
      <w:r>
        <w:t>B. Oligo-éléments / vitamines — profils laboratoire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FCEBF3"/>
          </w:tcPr>
          <w:p>
            <w:r>
              <w:rPr>
                <w:b/>
                <w:color w:val="B53670"/>
                <w:sz w:val="16"/>
              </w:rPr>
              <w:t>Élément</w:t>
            </w:r>
          </w:p>
        </w:tc>
        <w:tc>
          <w:tcPr>
            <w:tcW w:type="dxa" w:w="3437"/>
            <w:shd w:fill="FCEBF3"/>
          </w:tcPr>
          <w:p>
            <w:r>
              <w:rPr>
                <w:b/>
                <w:color w:val="B53670"/>
                <w:sz w:val="16"/>
              </w:rPr>
              <w:t>LEAV bovin plasma — normal</w:t>
            </w:r>
          </w:p>
        </w:tc>
        <w:tc>
          <w:tcPr>
            <w:tcW w:type="dxa" w:w="3437"/>
            <w:shd w:fill="FCEBF3"/>
          </w:tcPr>
          <w:p>
            <w:r>
              <w:rPr>
                <w:b/>
                <w:color w:val="B53670"/>
                <w:sz w:val="16"/>
              </w:rPr>
              <w:t>Zone modérée / sévère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Cuivre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767-1002 µg/L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391-766 / ≤390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Zinc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851-1083 µg/L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654-850 / ≤653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Manganèse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1,8-2,6 µg/L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1,3-1,7 / ≤1,2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Iode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49-106 µg/L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32-48 / ≤31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Cobalt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0,50-1,90 µg/L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0,21-0,49 / ≤0,20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Sélénium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50-90 µg/L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30-49 / ≤29</w:t>
            </w:r>
          </w:p>
        </w:tc>
      </w:tr>
    </w:tbl>
    <w:p/>
    <w:p>
      <w:r>
        <w:t>Iodolab bovin : Zn 12-21 µmol/L ; Cu 11-18 µmol/L ; Se 80-300 µg/L ; I ≥51 µg/L ; Co ≥0,67 µg/L ; Mn 2,1-10 µg/L ; vit A 30-70 µg/dL ; vit E 3-10 µg/mL ; 25-OH-D3 20-80 ng/mL ; Mg 19,44-29,16 mg/L. Toujours utiliser le profil du laboratoire et la matrice réellement analysée.</w:t>
      </w:r>
    </w:p>
    <w:p>
      <w:pPr>
        <w:pStyle w:val="Heading2"/>
      </w:pPr>
      <w:r>
        <w:t>C. Parasitisme</w:t>
      </w:r>
    </w:p>
    <w:p>
      <w:pPr>
        <w:pStyle w:val="ListBullet"/>
      </w:pPr>
      <w:r>
        <w:t>Conserver les résultats qualitatifs et les signes « &lt; » / « &gt; » : &lt;39 ou &lt;53 ne valent jamais 0.</w:t>
      </w:r>
    </w:p>
    <w:p>
      <w:pPr>
        <w:pStyle w:val="ListBullet"/>
      </w:pPr>
      <w:r>
        <w:t>Distinguer prélèvement individuel et pool.</w:t>
      </w:r>
    </w:p>
    <w:p>
      <w:pPr>
        <w:pStyle w:val="ListBullet"/>
      </w:pPr>
      <w:r>
        <w:t>FECRT : (avant - après) / avant × 100, avec délai cohérent selon protocole.</w:t>
      </w:r>
    </w:p>
    <w:p>
      <w:pPr>
        <w:pStyle w:val="ListBullet"/>
      </w:pPr>
      <w:r>
        <w:t>Croiser le résultat avec âge, pâturage, saison, signes cliniques, dernier traitement, molécule, dose et poids réellement utilisé.</w:t>
      </w:r>
    </w:p>
    <w:p>
      <w:pPr>
        <w:pStyle w:val="ListBullet"/>
      </w:pPr>
      <w:r>
        <w:t>Une copro négative n’exclut pas certaines phases prépatentes ; ne pas conclure sans le contexte ni le type de test.</w:t>
      </w:r>
    </w:p>
    <w:p>
      <w:pPr>
        <w:pStyle w:val="Heading2"/>
      </w:pPr>
      <w:r>
        <w:t>D. Mesures terrain et matrices</w:t>
      </w:r>
    </w:p>
    <w:p>
      <w:pPr>
        <w:pStyle w:val="ListBullet"/>
      </w:pPr>
      <w:r>
        <w:t>Chaque animal/sujet doit conserver son identification, catégorie, stade physiologique, lot et contexte.</w:t>
      </w:r>
    </w:p>
    <w:p>
      <w:pPr>
        <w:pStyle w:val="ListBullet"/>
      </w:pPr>
      <w:r>
        <w:t>Les seuils urine/sang/bouses/physiques peuvent dépendre du stade physiologique.</w:t>
      </w:r>
    </w:p>
    <w:p>
      <w:pPr>
        <w:pStyle w:val="ListBullet"/>
      </w:pPr>
      <w:r>
        <w:t>Les matrices permettent la saisie rapide multi-animaux ; vérifier l’unité et le sujet avant de valider.</w:t>
      </w:r>
    </w:p>
    <w:p>
      <w:pPr>
        <w:pStyle w:val="ListBullet"/>
      </w:pPr>
      <w:r>
        <w:t>Le compte rendu technique doit distinguer données brutes, classement couleur et interprétation.</w:t>
      </w:r>
    </w:p>
    <w:p>
      <w:pPr>
        <w:pStyle w:val="Heading2"/>
      </w:pPr>
      <w:r>
        <w:t>E. Alimentation, minéraux et bolus</w:t>
      </w:r>
    </w:p>
    <w:p>
      <w:pPr>
        <w:pStyle w:val="ListBullet"/>
      </w:pPr>
      <w:r>
        <w:t>Renseigner ration, fourrages, concentrés, minéraux, bolus et doses réellement distribuées.</w:t>
      </w:r>
    </w:p>
    <w:p>
      <w:pPr>
        <w:pStyle w:val="ListBullet"/>
      </w:pPr>
      <w:r>
        <w:t>Valeurs aliments : MS, MAT, NDF, amidon, sucres, UFL/UFV, PDI, Ca, P et oligo-éléments quand disponibles.</w:t>
      </w:r>
    </w:p>
    <w:p>
      <w:pPr>
        <w:pStyle w:val="ListBullet"/>
      </w:pPr>
      <w:r>
        <w:t>Distinguer valeur analysée, valeur de table et valeur personnalisée.</w:t>
      </w:r>
    </w:p>
    <w:p>
      <w:pPr>
        <w:pStyle w:val="ListBullet"/>
      </w:pPr>
      <w:r>
        <w:t>Les produits minéraux/bolus peuvent avoir une durée de libération ; la couverture doit être raisonnée sur la durée et la dose réellement consommée.</w:t>
      </w:r>
    </w:p>
    <w:p>
      <w:pPr>
        <w:pStyle w:val="Heading2"/>
      </w:pPr>
      <w:r>
        <w:t>F. Bâtiment et environnement</w:t>
      </w:r>
    </w:p>
    <w:p>
      <w:pPr>
        <w:pStyle w:val="ListBullet"/>
      </w:pPr>
      <w:r>
        <w:t>Questionnaire organisé par eau/abreuvement, couchage/litière, ventilation/ambiance, circulation/sécurité, veaux/mise bas, hygiène/biosécurité.</w:t>
      </w:r>
    </w:p>
    <w:p>
      <w:pPr>
        <w:pStyle w:val="ListBullet"/>
      </w:pPr>
      <w:r>
        <w:t>Le déclaratif éleveur ne remplace jamais l’observation du technicien.</w:t>
      </w:r>
    </w:p>
    <w:p>
      <w:pPr>
        <w:pStyle w:val="ListBullet"/>
      </w:pPr>
      <w:r>
        <w:t>Les mesures électriques, eau, litière et ambiance doivent être reliées à un lieu précis et au contexte de mesure.</w:t>
      </w:r>
    </w:p>
    <w:p>
      <w:pPr>
        <w:pStyle w:val="Heading2"/>
      </w:pPr>
      <w:r>
        <w:t>G. Rapports et niveau de détail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FCEBF3"/>
          </w:tcPr>
          <w:p>
            <w:r>
              <w:rPr>
                <w:b/>
                <w:color w:val="B53670"/>
                <w:sz w:val="16"/>
              </w:rPr>
              <w:t>Sortie</w:t>
            </w:r>
          </w:p>
        </w:tc>
        <w:tc>
          <w:tcPr>
            <w:tcW w:type="dxa" w:w="3437"/>
            <w:shd w:fill="FCEBF3"/>
          </w:tcPr>
          <w:p>
            <w:r>
              <w:rPr>
                <w:b/>
                <w:color w:val="B53670"/>
                <w:sz w:val="16"/>
              </w:rPr>
              <w:t>Public</w:t>
            </w:r>
          </w:p>
        </w:tc>
        <w:tc>
          <w:tcPr>
            <w:tcW w:type="dxa" w:w="3437"/>
            <w:shd w:fill="FCEBF3"/>
          </w:tcPr>
          <w:p>
            <w:r>
              <w:rPr>
                <w:b/>
                <w:color w:val="B53670"/>
                <w:sz w:val="16"/>
              </w:rPr>
              <w:t>Règle de rédaction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Rapport éleveur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Éleveur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langage clair, points forts/vigilance, actions ; éviter la surcharge de données brutes.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Rapport technique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Technicien / partenaires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détails audit, mesures, reproduction, alimentation, bâtiment, technico-éco et sources.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Rapport expert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Analyse approfondie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calculs, interprétations et raisonnement ; expliciter les limites.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Plan d’action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Éleveur + technicien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action, décision, commentaire, suivi.</w:t>
            </w:r>
          </w:p>
        </w:tc>
      </w:tr>
      <w:tr>
        <w:tc>
          <w:tcPr>
            <w:tcW w:type="dxa" w:w="3437"/>
          </w:tcPr>
          <w:p>
            <w:r>
              <w:rPr>
                <w:color w:val="172033"/>
                <w:sz w:val="15"/>
              </w:rPr>
              <w:t>Préparation papier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Technicien avant visite</w:t>
            </w:r>
          </w:p>
        </w:tc>
        <w:tc>
          <w:tcPr>
            <w:tcW w:type="dxa" w:w="3437"/>
          </w:tcPr>
          <w:p>
            <w:r>
              <w:rPr>
                <w:color w:val="172033"/>
                <w:sz w:val="15"/>
              </w:rPr>
              <w:t>doit refléter les données à jour et les questions ciblées, pas un historique brut illisible.</w:t>
            </w:r>
          </w:p>
        </w:tc>
      </w:tr>
    </w:tbl>
    <w:p/>
    <w:p>
      <w:pPr>
        <w:pStyle w:val="Heading2"/>
      </w:pPr>
      <w:r>
        <w:t>H. Règles de prudence d’interprétation</w:t>
      </w:r>
    </w:p>
    <w:p>
      <w:pPr>
        <w:pStyle w:val="ListBullet"/>
      </w:pPr>
      <w:r>
        <w:t>Ne pas conclure à une cause parce que deux événements sont proches dans le temps.</w:t>
      </w:r>
    </w:p>
    <w:p>
      <w:pPr>
        <w:pStyle w:val="ListBullet"/>
      </w:pPr>
      <w:r>
        <w:t>Ne pas comparer des taux dont le dénominateur ou la période diffèrent.</w:t>
      </w:r>
    </w:p>
    <w:p>
      <w:pPr>
        <w:pStyle w:val="ListBullet"/>
      </w:pPr>
      <w:r>
        <w:t>Ne pas tirer de conclusion forte sur un petit effectif.</w:t>
      </w:r>
    </w:p>
    <w:p>
      <w:pPr>
        <w:pStyle w:val="ListBullet"/>
      </w:pPr>
      <w:r>
        <w:t>Ne pas interpréter une baisse d’IVV comme une dégradation.</w:t>
      </w:r>
    </w:p>
    <w:p>
      <w:pPr>
        <w:pStyle w:val="ListBullet"/>
      </w:pPr>
      <w:r>
        <w:t>Ne pas considérer l’absence de paternité comme une anomalie de conduite.</w:t>
      </w:r>
    </w:p>
    <w:p>
      <w:pPr>
        <w:pStyle w:val="ListBullet"/>
      </w:pPr>
      <w:r>
        <w:t>Ne pas confondre père IA/extérieur avec taureau présent sur l’exploitation.</w:t>
      </w:r>
    </w:p>
    <w:p>
      <w:pPr>
        <w:pStyle w:val="ListBullet"/>
      </w:pPr>
      <w:r>
        <w:t>Ne pas compter les naissances comme introductions ; seules ACHAT et PENSION sont des introductions.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Notice administrateur — Audit Bovin GDS 32-65 — v14.6.21.68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B536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8E2E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B536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