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SOaC: BYOVD &amp; EDR-Killer Defense</w:t>
      </w:r>
    </w:p>
    <w:p>
      <w:r>
        <w:t>Wave 2 | Defense Evasion &amp; Privilege Escalation | Pattern-Based</w:t>
      </w:r>
    </w:p>
    <w:p>
      <w:r>
        <w:t>Source Intel: CrazyHunter / BYOVD (Intel 471)</w:t>
      </w:r>
    </w:p>
    <w:p>
      <w:pPr>
        <w:pStyle w:val="Heading1"/>
      </w:pPr>
      <w:r>
        <w:t>Executive Summary</w:t>
      </w:r>
    </w:p>
    <w:p>
      <w:r>
        <w:t>The "Bring Your Own Vulnerable Driver" (BYOVD) technique is a critical escalation point used by groups like CrazyHunter to blind security teams before ransomware detonation. By loading a legitimate but vulnerable driver (e.g., zam64.sys), attackers gain kernel-level access to terminate EDR/AV processes, clear logs, and bypass tamper protection. This package provides the SOaC artifacts to detect driver staging and enforce kernel-mode code integrity to block known vulnerable drivers.</w:t>
      </w:r>
    </w:p>
    <w:p>
      <w:pPr>
        <w:pStyle w:val="Heading2"/>
      </w:pPr>
      <w:r>
        <w:t>Threat Pattern Summary</w:t>
      </w:r>
    </w:p>
    <w:p>
      <w:pPr>
        <w:pStyle w:val="ListBullet"/>
      </w:pPr>
      <w:r>
        <w:t>Staging of vulnerable drivers (e.g., zam64.sys, RTCore64.sys) in %TEMP% or C:\Windows\System32.</w:t>
      </w:r>
    </w:p>
    <w:p>
      <w:pPr>
        <w:pStyle w:val="ListBullet"/>
      </w:pPr>
      <w:r>
        <w:t>Use of "EDR-Killer" scripts or binaries to automate driver loading and process termination.</w:t>
      </w:r>
    </w:p>
    <w:p>
      <w:pPr>
        <w:pStyle w:val="ListBullet"/>
      </w:pPr>
      <w:r>
        <w:t>Kernel-level interference with security agents (CrowdStrike, Defender, SentinelOne).</w:t>
      </w:r>
    </w:p>
    <w:p>
      <w:pPr>
        <w:pStyle w:val="ListBullet"/>
      </w:pPr>
      <w:r>
        <w:t>Exploitation of vulnerable IOCTLs to write to kernel memory or terminate protected processes.</w:t>
      </w:r>
    </w:p>
    <w:p>
      <w:pPr>
        <w:pStyle w:val="ListBullet"/>
      </w:pPr>
      <w:r>
        <w:t>Time-based evasion (delayed execution) to bypass sandbox analysis.</w:t>
      </w:r>
    </w:p>
    <w:p>
      <w:pPr>
        <w:pStyle w:val="ListBullet"/>
      </w:pPr>
      <w:r>
        <w:t>Post-EDR-kill ransomware deployment (CrazyHunter/Prince fork pattern).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