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ADDEEB7" w14:textId="77777777" w:rsidR="00877D06" w:rsidRPr="00002CED"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694F3BF8"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 mit und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37E82520"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Fortifikationsphänomenen</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B621DD6" w14:textId="1FCB2C7D" w:rsidR="00237185" w:rsidRDefault="00237185"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FD9B781" w14:textId="77777777" w:rsidTr="006224B4">
        <w:tc>
          <w:tcPr>
            <w:tcW w:w="2234" w:type="dxa"/>
          </w:tcPr>
          <w:p w14:paraId="0FEA9072"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4B42002" w14:textId="7E7FA6B6"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7D3CC836" w14:textId="42F0DFC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02CED" w:rsidRPr="00764B64" w14:paraId="17494459" w14:textId="77777777" w:rsidTr="006224B4">
        <w:tc>
          <w:tcPr>
            <w:tcW w:w="2234" w:type="dxa"/>
          </w:tcPr>
          <w:p w14:paraId="7E619B50"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19048E6" w14:textId="4BF02B7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w:t>
            </w:r>
            <w:proofErr w:type="spellStart"/>
            <w:r>
              <w:rPr>
                <w:rFonts w:ascii="Lucida Sans Unicode" w:hAnsi="Lucida Sans Unicode" w:cs="Lucida Sans Unicode"/>
                <w:sz w:val="18"/>
                <w:szCs w:val="18"/>
              </w:rPr>
              <w:t>periorbital</w:t>
            </w:r>
            <w:proofErr w:type="spellEnd"/>
          </w:p>
        </w:tc>
      </w:tr>
      <w:tr w:rsidR="00002CED" w:rsidRPr="00764B64" w14:paraId="5E5DEF46" w14:textId="77777777" w:rsidTr="006224B4">
        <w:tc>
          <w:tcPr>
            <w:tcW w:w="2234" w:type="dxa"/>
          </w:tcPr>
          <w:p w14:paraId="70CFC4E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6DC29F16" w14:textId="7281931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79618B16" w14:textId="77777777" w:rsidTr="006224B4">
        <w:tc>
          <w:tcPr>
            <w:tcW w:w="2234" w:type="dxa"/>
          </w:tcPr>
          <w:p w14:paraId="54B13A0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E0B0F95" w14:textId="3B53F96C"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02CED" w:rsidRPr="00764B64" w14:paraId="043964FB" w14:textId="77777777" w:rsidTr="006224B4">
        <w:tc>
          <w:tcPr>
            <w:tcW w:w="2234" w:type="dxa"/>
          </w:tcPr>
          <w:p w14:paraId="2E21C18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600A3FAB" w14:textId="5CA6EC8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02CED" w:rsidRPr="00764B64" w14:paraId="4393C21A" w14:textId="77777777" w:rsidTr="006224B4">
        <w:tc>
          <w:tcPr>
            <w:tcW w:w="2234" w:type="dxa"/>
          </w:tcPr>
          <w:p w14:paraId="28E3AD34" w14:textId="77777777" w:rsidR="00002CED" w:rsidRPr="00764B64" w:rsidRDefault="00002CED" w:rsidP="00002CED">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41786A53" w14:textId="3BCEF2A9" w:rsidR="00002CED" w:rsidRPr="00764B64" w:rsidRDefault="00002CED" w:rsidP="00002CED">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Attacke starke körperliche Unruhe, ipsilaterale </w:t>
            </w: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2F98B1D2"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9CCB06E" w14:textId="77777777" w:rsidTr="006224B4">
        <w:tc>
          <w:tcPr>
            <w:tcW w:w="2234" w:type="dxa"/>
          </w:tcPr>
          <w:p w14:paraId="0D7F6D8C"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C9A5053" w14:textId="151E23B0" w:rsidR="00002CED"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Trigeminusneuralgie</w:t>
            </w:r>
            <w:r w:rsidR="00892AC8">
              <w:rPr>
                <w:rFonts w:ascii="Lucida Sans Unicode" w:hAnsi="Lucida Sans Unicode" w:cs="Lucida Sans Unicode"/>
                <w:sz w:val="18"/>
                <w:szCs w:val="18"/>
              </w:rPr>
              <w:t xml:space="preserve">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sidR="00892AC8">
              <w:rPr>
                <w:rFonts w:ascii="Lucida Sans Unicode" w:hAnsi="Lucida Sans Unicode" w:cs="Lucida Sans Unicode"/>
                <w:sz w:val="18"/>
                <w:szCs w:val="18"/>
              </w:rPr>
              <w:t>seitig</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77087064" w14:textId="6E0D699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02CED" w:rsidRPr="00764B64" w14:paraId="6BD58EB0" w14:textId="77777777" w:rsidTr="006224B4">
        <w:tc>
          <w:tcPr>
            <w:tcW w:w="2234" w:type="dxa"/>
          </w:tcPr>
          <w:p w14:paraId="5C99286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AB0CDD6" w14:textId="3143C055"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02CED" w:rsidRPr="00764B64" w14:paraId="368CF64D" w14:textId="77777777" w:rsidTr="006224B4">
        <w:tc>
          <w:tcPr>
            <w:tcW w:w="2234" w:type="dxa"/>
          </w:tcPr>
          <w:p w14:paraId="7ACFF13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664DD5D" w14:textId="7ED2C073"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18AD2C15" w14:textId="77777777" w:rsidTr="006224B4">
        <w:tc>
          <w:tcPr>
            <w:tcW w:w="2234" w:type="dxa"/>
          </w:tcPr>
          <w:p w14:paraId="58D1C6AE"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2BFF1D5" w14:textId="02D83A20"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02CED" w:rsidRPr="00764B64" w14:paraId="12AA97C9" w14:textId="77777777" w:rsidTr="006224B4">
        <w:tc>
          <w:tcPr>
            <w:tcW w:w="2234" w:type="dxa"/>
          </w:tcPr>
          <w:p w14:paraId="4680E1D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964FF7F" w14:textId="19930B0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02CED" w:rsidRPr="00764B64" w14:paraId="7945C760" w14:textId="77777777" w:rsidTr="006224B4">
        <w:tc>
          <w:tcPr>
            <w:tcW w:w="2234" w:type="dxa"/>
          </w:tcPr>
          <w:p w14:paraId="358DBC0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197359B9" w14:textId="3ABBD7E8"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ipsilateraler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73358357"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 mit und ohne Aura</w:t>
      </w:r>
      <w:r>
        <w:rPr>
          <w:rFonts w:ascii="Lucida Sans Unicode" w:hAnsi="Lucida Sans Unicode" w:cs="Lucida Sans Unicode"/>
          <w:sz w:val="18"/>
          <w:szCs w:val="18"/>
        </w:rPr>
        <w:t>. Dabei treten visuel</w:t>
      </w:r>
      <w:r w:rsidRPr="00213423">
        <w:rPr>
          <w:rFonts w:ascii="Lucida Sans Unicode" w:hAnsi="Lucida Sans Unicode" w:cs="Lucida Sans Unicode"/>
          <w:sz w:val="18"/>
          <w:szCs w:val="18"/>
        </w:rPr>
        <w:t xml:space="preserve">le Auren in Form von Flimmerskotomen in ca. der Hälfte der Kopfschmerzen auf. 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 Einzelne Attacken 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43944CCA"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Kopfschmerzprophylaxe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lastRenderedPageBreak/>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w:t>
      </w:r>
      <w:proofErr w:type="spellStart"/>
      <w:r w:rsidR="0072596C">
        <w:rPr>
          <w:rFonts w:ascii="Lucida Sans Unicode" w:hAnsi="Lucida Sans Unicode" w:cs="Lucida Sans Unicode"/>
          <w:b/>
          <w:bCs/>
          <w:sz w:val="18"/>
          <w:szCs w:val="18"/>
        </w:rPr>
        <w:t>ekg</w:t>
      </w:r>
      <w:r w:rsidR="003348A0">
        <w:rPr>
          <w:rFonts w:ascii="Lucida Sans Unicode" w:hAnsi="Lucida Sans Unicode" w:cs="Lucida Sans Unicode"/>
          <w:b/>
          <w:bCs/>
          <w:sz w:val="18"/>
          <w:szCs w:val="18"/>
        </w:rPr>
        <w:t>_zeit</w:t>
      </w:r>
      <w:proofErr w:type="spellEnd"/>
      <w:r w:rsidR="001F1460">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w:t>
      </w:r>
      <w:r w:rsidRPr="00F544EA">
        <w:rPr>
          <w:rFonts w:ascii="Lucida Sans Unicode" w:hAnsi="Lucida Sans Unicode" w:cs="Lucida Sans Unicode"/>
          <w:sz w:val="18"/>
          <w:szCs w:val="18"/>
        </w:rPr>
        <w:lastRenderedPageBreak/>
        <w:t>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2EC0B13"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075D896" w14:textId="5E2339EE" w:rsidR="00877D06" w:rsidRDefault="00FB590F" w:rsidP="008200BE">
      <w:pPr>
        <w:tabs>
          <w:tab w:val="left" w:pos="1701"/>
          <w:tab w:val="left" w:pos="6804"/>
        </w:tabs>
        <w:jc w:val="both"/>
        <w:rPr>
          <w:rFonts w:ascii="Lucida Sans Unicode" w:hAnsi="Lucida Sans Unicode" w:cs="Lucida Sans Unicode"/>
          <w:sz w:val="18"/>
          <w:szCs w:val="18"/>
        </w:rPr>
      </w:pPr>
      <w:r w:rsidRPr="00FB590F">
        <w:rPr>
          <w:rFonts w:ascii="Lucida Sans Unicode" w:hAnsi="Lucida Sans Unicode" w:cs="Lucida Sans Unicode"/>
          <w:sz w:val="18"/>
          <w:szCs w:val="18"/>
          <w:highlight w:val="yellow"/>
        </w:rPr>
        <w:t xml:space="preserve">Bei mangelnder Wirksamkeit kann die prophylaktische Therapie mit </w:t>
      </w:r>
      <w:proofErr w:type="spellStart"/>
      <w:r w:rsidRPr="00FB590F">
        <w:rPr>
          <w:rFonts w:ascii="Lucida Sans Unicode" w:hAnsi="Lucida Sans Unicode" w:cs="Lucida Sans Unicode"/>
          <w:b/>
          <w:bCs/>
          <w:sz w:val="18"/>
          <w:szCs w:val="18"/>
          <w:highlight w:val="yellow"/>
        </w:rPr>
        <w:t>Atogepant</w:t>
      </w:r>
      <w:proofErr w:type="spellEnd"/>
      <w:r w:rsidRPr="00FB590F">
        <w:rPr>
          <w:rFonts w:ascii="Lucida Sans Unicode" w:hAnsi="Lucida Sans Unicode" w:cs="Lucida Sans Unicode"/>
          <w:sz w:val="18"/>
          <w:szCs w:val="18"/>
          <w:highlight w:val="yellow"/>
        </w:rPr>
        <w:t xml:space="preserve"> 60 mg (</w:t>
      </w:r>
      <w:proofErr w:type="spellStart"/>
      <w:r w:rsidRPr="00FB590F">
        <w:rPr>
          <w:rFonts w:ascii="Lucida Sans Unicode" w:hAnsi="Lucida Sans Unicode" w:cs="Lucida Sans Unicode"/>
          <w:sz w:val="18"/>
          <w:szCs w:val="18"/>
          <w:highlight w:val="yellow"/>
        </w:rPr>
        <w:t>Aquipta</w:t>
      </w:r>
      <w:proofErr w:type="spellEnd"/>
      <w:r w:rsidRPr="00FB590F">
        <w:rPr>
          <w:rFonts w:ascii="Lucida Sans Unicode" w:hAnsi="Lucida Sans Unicode" w:cs="Lucida Sans Unicode"/>
          <w:sz w:val="18"/>
          <w:szCs w:val="18"/>
          <w:highlight w:val="yellow"/>
        </w:rPr>
        <w:t xml:space="preserve">®) 1x täglich erwogen werden. Der Wirkeintritt erfolgt meist innerhalb der ersten 4 – 12 Wochen. </w:t>
      </w:r>
      <w:proofErr w:type="spellStart"/>
      <w:r w:rsidRPr="00FB590F">
        <w:rPr>
          <w:rFonts w:ascii="Lucida Sans Unicode" w:hAnsi="Lucida Sans Unicode" w:cs="Lucida Sans Unicode"/>
          <w:sz w:val="18"/>
          <w:szCs w:val="18"/>
          <w:highlight w:val="yellow"/>
        </w:rPr>
        <w:t>Atogepant</w:t>
      </w:r>
      <w:proofErr w:type="spellEnd"/>
      <w:r w:rsidRPr="00FB590F">
        <w:rPr>
          <w:rFonts w:ascii="Lucida Sans Unicode" w:hAnsi="Lucida Sans Unicode" w:cs="Lucida Sans Unicode"/>
          <w:sz w:val="18"/>
          <w:szCs w:val="18"/>
          <w:highlight w:val="yellow"/>
        </w:rPr>
        <w:t xml:space="preserve"> darf nicht mit dem Antibiotikum Clarithromycin und den Pilzmitteln Ketoconazol und Itraconazol kombiniert werden. Für diesen Zeitraum der Einnahme der genannten Medikamente empfehlen wir das Absetzen des </w:t>
      </w:r>
      <w:proofErr w:type="spellStart"/>
      <w:r w:rsidRPr="00FB590F">
        <w:rPr>
          <w:rFonts w:ascii="Lucida Sans Unicode" w:hAnsi="Lucida Sans Unicode" w:cs="Lucida Sans Unicode"/>
          <w:sz w:val="18"/>
          <w:szCs w:val="18"/>
          <w:highlight w:val="yellow"/>
        </w:rPr>
        <w:t>Atogepant</w:t>
      </w:r>
      <w:proofErr w:type="spellEnd"/>
      <w:r w:rsidRPr="00FB590F">
        <w:rPr>
          <w:rFonts w:ascii="Lucida Sans Unicode" w:hAnsi="Lucida Sans Unicode" w:cs="Lucida Sans Unicode"/>
          <w:sz w:val="18"/>
          <w:szCs w:val="18"/>
          <w:highlight w:val="yellow"/>
        </w:rPr>
        <w:t>. Auf den Genuss von Grapefruit oder Grapefruitsaft sollte verzichtet werden. Wir empfehlen eine regelmäßige Überprüfung der Indikation und Wirksamkeit.</w:t>
      </w:r>
    </w:p>
    <w:p w14:paraId="1A7E66ED" w14:textId="77777777" w:rsidR="00FB590F" w:rsidRDefault="00FB590F" w:rsidP="008200BE">
      <w:pPr>
        <w:tabs>
          <w:tab w:val="left" w:pos="1701"/>
          <w:tab w:val="left" w:pos="6804"/>
        </w:tabs>
        <w:jc w:val="both"/>
        <w:rPr>
          <w:rFonts w:ascii="Lucida Sans Unicode" w:hAnsi="Lucida Sans Unicode" w:cs="Lucida Sans Unicode"/>
          <w:sz w:val="18"/>
          <w:szCs w:val="18"/>
        </w:rPr>
      </w:pPr>
    </w:p>
    <w:p w14:paraId="7402F5EA" w14:textId="27296402"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 xml:space="preserve">Zur Prophylaxe der Migräne erhielt </w:t>
      </w:r>
      <w:r w:rsidR="00E67F87">
        <w:rPr>
          <w:rFonts w:ascii="Lucida Sans Unicode" w:hAnsi="Lucida Sans Unicode" w:cs="Lucida Sans Unicode"/>
          <w:sz w:val="18"/>
          <w:szCs w:val="18"/>
          <w:highlight w:val="yellow"/>
        </w:rPr>
        <w:t>{</w:t>
      </w:r>
      <w:proofErr w:type="spellStart"/>
      <w:r w:rsidR="00E67F87">
        <w:rPr>
          <w:rFonts w:ascii="Lucida Sans Unicode" w:hAnsi="Lucida Sans Unicode" w:cs="Lucida Sans Unicode"/>
          <w:sz w:val="18"/>
          <w:szCs w:val="18"/>
          <w:highlight w:val="yellow"/>
        </w:rPr>
        <w:t>patient</w:t>
      </w:r>
      <w:proofErr w:type="spellEnd"/>
      <w:r w:rsidR="00E67F87">
        <w:rPr>
          <w:rFonts w:ascii="Lucida Sans Unicode" w:hAnsi="Lucida Sans Unicode" w:cs="Lucida Sans Unicode"/>
          <w:sz w:val="18"/>
          <w:szCs w:val="18"/>
          <w:highlight w:val="yellow"/>
        </w:rPr>
        <w:t xml:space="preserve">} </w:t>
      </w:r>
      <w:r w:rsidRPr="00F4582D">
        <w:rPr>
          <w:rFonts w:ascii="Lucida Sans Unicode" w:hAnsi="Lucida Sans Unicode" w:cs="Lucida Sans Unicode"/>
          <w:sz w:val="18"/>
          <w:szCs w:val="18"/>
          <w:highlight w:val="yellow"/>
        </w:rPr>
        <w:t>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6C10B194"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ohneaura_akut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lastRenderedPageBreak/>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spezielle Schmerz</w:t>
      </w:r>
      <w:r w:rsidRPr="00744612">
        <w:rPr>
          <w:rFonts w:ascii="Lucida Sans Unicode" w:hAnsi="Lucida Sans Unicode" w:cs="Lucida Sans Unicode"/>
          <w:sz w:val="18"/>
          <w:szCs w:val="18"/>
        </w:rPr>
        <w:lastRenderedPageBreak/>
        <w:t xml:space="preserve">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65DCE" w14:textId="77777777" w:rsidR="003A3141" w:rsidRDefault="003A3141">
      <w:r>
        <w:separator/>
      </w:r>
    </w:p>
  </w:endnote>
  <w:endnote w:type="continuationSeparator" w:id="0">
    <w:p w14:paraId="0E9CC2E5" w14:textId="77777777" w:rsidR="003A3141" w:rsidRDefault="003A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E4377" w14:textId="77777777" w:rsidR="003A3141" w:rsidRDefault="003A3141">
      <w:r>
        <w:separator/>
      </w:r>
    </w:p>
  </w:footnote>
  <w:footnote w:type="continuationSeparator" w:id="0">
    <w:p w14:paraId="27AF4FC1" w14:textId="77777777" w:rsidR="003A3141" w:rsidRDefault="003A3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2604</Words>
  <Characters>16411</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68</cp:revision>
  <cp:lastPrinted>2010-05-16T15:31:00Z</cp:lastPrinted>
  <dcterms:created xsi:type="dcterms:W3CDTF">2023-09-26T13:20:00Z</dcterms:created>
  <dcterms:modified xsi:type="dcterms:W3CDTF">2025-06-04T16:38:00Z</dcterms:modified>
</cp:coreProperties>
</file>