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vetor1.svg" ContentType="image/svg+xml"/>
  <Override PartName="/word/media/vetor2.svg" ContentType="image/svg+xml"/>
  <Override PartName="/word/media/vetor3.svg" ContentType="image/svg+xml"/>
  <Override PartName="/word/media/vetor4.svg" ContentType="image/svg+xml"/>
  <Override PartName="/word/media/vetor5.svg" ContentType="image/svg+xml"/>
  <Override PartName="/word/media/vetor6.svg" ContentType="image/svg+xml"/>
  <Override PartName="/word/media/vetor7.svg" ContentType="image/svg+xml"/>
  <Override PartName="/word/media/vetor8.svg" ContentType="image/svg+xml"/>
  <Override PartName="/word/media/vetor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</w:pPr>
      <w:r>
        <w:rPr>
          <w:rFonts w:ascii="Arial" w:hAnsi="Arial"/>
          <w:b/>
          <w:i w:val="0"/>
          <w:sz w:val="24"/>
        </w:rPr>
        <w:t>PEI VIVO</w:t>
      </w:r>
    </w:p>
    <w:p>
      <w:pPr>
        <w:spacing w:line="360" w:lineRule="auto" w:before="0" w:after="240"/>
        <w:jc w:val="center"/>
      </w:pPr>
      <w:r>
        <w:rPr>
          <w:rFonts w:ascii="Arial" w:hAnsi="Arial"/>
          <w:b/>
          <w:i w:val="0"/>
          <w:sz w:val="24"/>
        </w:rPr>
        <w:t>SISTEMA WEB PARA ADAPTAÇÃO CONTÍNUA DE MATERIAL DIDÁTICO A PARTIR DE OBSERVAÇÃO PEDAGÓGICA VALIDADA POR PROFISSIONAL DE SAÚDE</w:t>
      </w:r>
    </w:p>
    <w:p>
      <w:pPr>
        <w:spacing w:line="240" w:lineRule="auto" w:before="0" w:after="0"/>
        <w:jc w:val="right"/>
      </w:pPr>
      <w:r>
        <w:rPr>
          <w:rFonts w:ascii="Arial" w:hAnsi="Arial"/>
          <w:b w:val="0"/>
          <w:i w:val="0"/>
          <w:sz w:val="24"/>
        </w:rPr>
        <w:t>Geandre Alfaia Colares</w:t>
      </w:r>
      <w:r>
        <w:rPr>
          <w:rFonts w:ascii="Arial" w:hAnsi="Arial"/>
          <w:vertAlign w:val="superscript"/>
        </w:rPr>
        <w:t>1</w:t>
        <w:br/>
      </w:r>
      <w:r>
        <w:rPr>
          <w:rFonts w:ascii="Arial" w:hAnsi="Arial"/>
          <w:b w:val="0"/>
          <w:i w:val="0"/>
          <w:sz w:val="24"/>
        </w:rPr>
        <w:t>Jean Victor Torres dos Santos</w:t>
      </w:r>
      <w:r>
        <w:rPr>
          <w:rFonts w:ascii="Arial" w:hAnsi="Arial"/>
          <w:vertAlign w:val="superscript"/>
        </w:rPr>
        <w:t>2</w:t>
      </w:r>
    </w:p>
    <w:p>
      <w:pPr>
        <w:spacing w:line="240" w:lineRule="auto" w:before="120" w:after="480"/>
        <w:jc w:val="right"/>
      </w:pPr>
      <w:r>
        <w:rPr>
          <w:rFonts w:ascii="Arial" w:hAnsi="Arial"/>
          <w:b w:val="0"/>
          <w:i w:val="0"/>
          <w:sz w:val="24"/>
        </w:rPr>
        <w:t>Luana Magalhães Leal</w:t>
      </w:r>
      <w:r>
        <w:rPr>
          <w:rFonts w:ascii="Arial" w:hAnsi="Arial"/>
          <w:vertAlign w:val="superscript"/>
        </w:rPr>
        <w:t>3</w:t>
      </w:r>
    </w:p>
    <w:p>
      <w:pPr>
        <w:keepNext/>
        <w:spacing w:line="360" w:lineRule="auto" w:before="360" w:after="120"/>
        <w:jc w:val="left"/>
      </w:pPr>
      <w:r>
        <w:rPr>
          <w:rFonts w:ascii="Arial" w:hAnsi="Arial"/>
          <w:b/>
          <w:i w:val="0"/>
          <w:sz w:val="24"/>
        </w:rPr>
        <w:t>1. INTRODUÇÃO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crescimento das matrículas da Educação Especial no Brasil evidencia um avanço expressivo no acesso à escolarização de estudantes com deficiência e transtornos do neurodesenvolvimento: em 2025, essas matrículas alcançaram 2,5 milhões, um aumento de 82% em relação a 2021, com mais de 90% dos estudantes já inseridos em classes comuns do ensino regular, segundo o Censo Escolar do Instituto Nacional de Estudos e Pesquisas Educacionais Anísio Teixeira (Inep, 2026). Esse avanço, contudo, não veio acompanhado de igual fortalecimento da estrutura pedagógica: o mesmo levantamento indica que apenas 11,3% das equipes gestoras escolares possuem formação continuada específica em Educação Especial. Um dos instrumentos usados para responder a essa demanda é o Plano Educacional Individualizado (PEI), que se apoia nas obrigações do art. 28 da Lei Brasileira de Inclusão, entre elas a adoção de adaptações razoáveis e de medidas individualizadas (Brasil, 2015). A literatura nacional, entretanto, aponta a baixa operacionalização desse instrumento: Silva e Camargo (2021) concluíram que a produção acadêmica brasileira não explica de forma clara como o PEI pode ou deve ser elaborado e executado, e Pereira e Pereira (2022) observaram que, mesmo onde o plano é elaborado, o trabalho colaborativo na sua implementação ainda é deficitário.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Para os casos de dislexia e Transtorno do Déficit de Atenção com Hiperatividade (TDAH), a Lei nº 14.254 determina o acompanhamento integral do educando, com articulação entre a rede de ensino e a rede de saúde (Brasil, 2021). No levantamento exploratório realizado neste trabalho (seção 3.1.1), 63,0% dos 27 respondentes descreveram a comunicação atual entre escola, família e saúde como informal e fragmentada, conduzida predominantemente por aplicativos de mensagens, sem histórico recuperável nem continuidade entre ciclos letivos. Mesmo quando o conhecimento sobre o estudante é registrado, sua conversão em material didático acessível exige que o docente reescreva cada texto segundo as necessidades de cada estudante, tarefa que concorre com o tempo de planejamento de uma turma numerosa e que, por isso, frequentemente não ocorre. </w:t>
      </w:r>
      <w:r>
        <w:rPr>
          <w:rFonts w:ascii="Arial" w:hAnsi="Arial"/>
          <w:b w:val="0"/>
          <w:i w:val="0"/>
          <w:sz w:val="24"/>
          <w:highlight w:val="yellow"/>
        </w:rPr>
        <w:t>[PREENCHER: se a dupla cronometrar docentes adaptando o mesmo texto, inserir aqui o tempo medido e o método; caso contrário, manter a frase sem número.]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Como solução para esse cenário, o projeto PEI Vivo propõe um sistema web que organiza um ciclo quinzenal de acompanhamento do estudante: observar, validar, adaptar e retroalimentar. O docente, a família e o profissional de saúde registram observações em seis dimensões observáveis; um motor de regras determinísticas converte essas observações em parâmetros de adaptação; o profissional de saúde valida o conjunto de parâmetros do ciclo; e o docente gera, revisa e aprova o material adaptado antes que ele chegue ao estudante. O sistema considera responsabilidades distintas entre os perfis envolvidos: o responsável legal concede ou revoga o consentimento e acompanha quem tem acesso aos dados; o docente regente observa, gera e aprova o material; o profissional de saúde valida os parâmetros; e a coordenação pedagógica cadastra estudantes e organiza os vínculos.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Assim, a problemática deste estudo está relacionada à necessidade de transformar o PEI em instrumento continuamente atualizado, e não apenas documental. Estabelece-se, portanto, a seguinte questão de pesquisa: como um sistema de informação pode integrar o registro periódico de observações pedagógicas, a validação técnica de profissional de saúde e a geração de material didático adaptado, protegendo dados pessoais sensíveis de crianças? Para responder a essa questão, o objetivo geral é desenvolver e avaliar o PEI Vivo, aplicação web que integra observações pedagógicas periódicas a um motor de adaptação de materiais didáticos, com validação do conjunto de parâmetros por profissional de saúde a cada ciclo, quando houver profissional vinculado, ou em modo exclusivamente pedagógico, quando não houver. Como objetivos específicos, busca-se modelar o ciclo por meio de requisitos, regras de negócio e diagramas UML; implementar um controle de acesso aplicado no banco de dados que negue toda tentativa de acesso indevido catalogada, independentemente da interface; implementar um motor de adaptação determinístico, auditável e testável de forma isolada; desenvolver um protótipo web acessível, aderente às WCAG 2.2 nível AA, com telas para os quatro perfis; e avaliar a usabilidade do protótipo pela escala SUS, com meta igual ou superior a 68 pontos.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 realização deste projeto justifica-se em três dimensões. No plano legal e social, o problema corresponde a uma obrigação normativa vigente e ainda sem instrumento operacional, conforme a Lei nº 14.254/2021. No plano tecnológico, as soluções de mercado consultadas (seção 2.2) já combinam gestão do plano e adaptação de conteúdo por inteligência artificial (IA), mas nenhuma integra ao ciclo a validação por profissional de saúde nem oferece uma adaptação que funcione sem IA. No plano prático, o sistema pode reduzir o esforço da adaptação docente e preservar o conhecimento sobre o estudante entre ciclos letivos e trocas de professor, uma vez que o perfil pertence ao estudante e não ao docente. Há ainda uma justificativa de proteção de dados: informações sobre a saúde de crianças são dados pessoais sensíveis e exigem consentimento específico de pelo menos um dos pais ou responsável (Brasil, 2018, art. 11 e 14). Um sistema que circula esse tipo de informação entre escola e saúde precisa demonstrar, e não apenas declarar, que cada pessoa acessa somente o necessário ao seu papel.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trabalho relaciona-se aos Objetivos de Desenvolvimento Sustentável 4 (Educação de Qualidade), em especial à meta 4.5, que trata do acesso igualitário à educação para pessoas com deficiência, e 3 (Saúde e Bem-Estar), ao formalizar a participação da rede de saúde no acompanhamento escolar (Organização das Nações Unidas, 2015). O escopo delimita-se ao ensino fundamental, com cenário de demonstração de um estudante fictício de nove anos, a escolas que adotem o sistema por iniciativa da coordenação pedagógica e a estudantes cujas famílias consintam com o uso.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Além da contribuição para a educação inclusiva, o desenvolvimento do PEI Vivo apresenta relevância acadêmica por aplicar conhecimentos relacionados à Engenharia de Software, banco de dados, segurança da informação, modelagem UML, desenvolvimento web e acessibilidade em um problema real da escola. Dessa forma, o projeto integra conhecimentos do curso de Sistemas de Informação a uma necessidade prática de acompanhamento do estudante, contribuindo para a articulação entre escola, família e saúde e para a adaptação do material didático com proteção dos dados da criança.</w:t>
      </w:r>
    </w:p>
    <w:p>
      <w:pPr>
        <w:keepNext/>
        <w:spacing w:line="360" w:lineRule="auto" w:before="360" w:after="120"/>
        <w:jc w:val="left"/>
      </w:pPr>
      <w:r>
        <w:rPr>
          <w:rFonts w:ascii="Arial" w:hAnsi="Arial"/>
          <w:b/>
          <w:i w:val="0"/>
          <w:sz w:val="24"/>
        </w:rPr>
        <w:t>2. REFERENCIAL TEÓRICO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referencial teórico fundamenta o desenvolvimento do PEI Vivo a partir de estudos sobre educação inclusiva e o Plano Educacional Individualizado, soluções semelhantes de apoio ao plano e à leitura, tecnologias web, bancos de dados com controle de acesso, adaptação de texto e acessibilidade, e organização do código. A discussão relaciona esses conceitos ao objetivo do projeto: manter o PEI atualizado a cada ciclo e convertê-lo em material adaptado, com a participação da escola, da família e da saúde.</w:t>
      </w:r>
    </w:p>
    <w:p>
      <w:pPr>
        <w:keepNext/>
        <w:spacing w:line="360" w:lineRule="auto" w:before="240" w:after="60"/>
        <w:jc w:val="left"/>
      </w:pPr>
      <w:r>
        <w:rPr>
          <w:rFonts w:ascii="Arial" w:hAnsi="Arial"/>
          <w:b/>
          <w:i w:val="0"/>
          <w:sz w:val="24"/>
        </w:rPr>
        <w:t>2.1 Educação inclusiva e o Plano Educacional Individualizado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Silva e Camargo (2021) definem o Plano Educacional Individualizado como uma metodologia de trabalho colaborativa, centrada no estudante com deficiência e elaborada a partir de sua série, idade, grau de desenvolvimento, habilidades e conhecimentos prévios, para estabelecer objetivos de aprendizagem de curto, médio e longo prazos e avaliar o progresso do estudante. A Lei Brasileira de Inclusão não nomeia o PEI, mas incumbe ao poder público assegurar adaptações razoáveis que garantam o pleno acesso ao currículo (art. 28, III), a adoção de medidas individualizadas e coletivas que maximizem o desenvolvimento acadêmico e social dos estudantes com deficiência (art. 28, V) e a elaboração de plano de atendimento educacional especializado (art. 28, VII) (Brasil, 2015).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Para educandos com dislexia, TDAH ou outro transtorno de aprendizagem, a Lei nº 14.254/2021 determina que o poder público mantenha programa de acompanhamento integral, que compreende a identificação precoce, o encaminhamento para diagnóstico, o apoio educacional na rede de ensino e o apoio terapêutico especializado na rede de saúde (art. 1º, parágrafo único). A mesma lei estabelece que as necessidades específicas do educando serão atendidas pelos profissionais da rede de ensino em parceria com profissionais da rede de saúde (art. 4º) e descreve esses educandos pelo efeito observável na aprendizagem, ao tratar de alterações no desenvolvimento da leitura e da escrita, ou de instabilidade na atenção, que repercutam na aprendizagem (art. 3º) (Brasil, 2021). É nessa parceria entre escola e saúde, centrada no que se observa na escola, que o PEI Vivo apoia a validação dos parâmetros pelo profissional de saúde.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Na produção acadêmica, Silva e Camargo (2021) analisaram 16 artigos nacionais sobre o PEI e concluíram que essa produção não o operacionaliza; apenas um dos artigos demonstrou contribuições do uso do PEI para o estudante. Pereira e Pereira (2022), em estudo documental em escola municipal de Campo Grande (MS), verificaram que o PEI era elaborado e aplicado, mas que o entendimento sobre o trabalho colaborativo na sua implementação ainda era deficitário. Fontana e Cruz (2022) identificaram o PEI como ferramenta pedagógica importante para organizar o ensino, e Battistello, Lisboa e Martins (2024) o tratam como instrumento norteador para a inclusão de estudantes autistas no ensino regular. Modesto, Araújo e Mendonça (2023), ao analisar a rede estadual de Sergipe, identificaram avanços acompanhados de investimento público insuficiente e de falta de formação continuada de professores. </w:t>
      </w:r>
      <w:r>
        <w:rPr>
          <w:rFonts w:ascii="Arial" w:hAnsi="Arial"/>
          <w:b w:val="0"/>
          <w:i w:val="0"/>
          <w:sz w:val="24"/>
          <w:highlight w:val="yellow"/>
        </w:rPr>
        <w:t>[CONFERIR: Battistello, Lisboa e Martins (2024), Modesto, Araújo e Mendonça (2023) e Fontana e Cruz (2022) foram conferidos pelo resumo; ler os três antes da entrega.]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Em conjunto, esses estudos indicam que o PEI é reconhecido como instrumento relevante, mas carece de operacionalização e de trabalho colaborativo efetivo. Nenhum deles trata de sistemas de informação: a hipótese de que um sistema que mantenha o plano atualizado ciclo a ciclo, com escola, família e saúde, possa reduzir essa lacuna é deste trabalho.</w:t>
      </w:r>
    </w:p>
    <w:p>
      <w:pPr>
        <w:keepNext/>
        <w:spacing w:line="360" w:lineRule="auto" w:before="240" w:after="60"/>
        <w:jc w:val="left"/>
      </w:pPr>
      <w:r>
        <w:rPr>
          <w:rFonts w:ascii="Arial" w:hAnsi="Arial"/>
          <w:b/>
          <w:i w:val="0"/>
          <w:sz w:val="24"/>
        </w:rPr>
        <w:t>2.2 Sistemas semelhantes e apoio ao PEI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Soluções de apoio ao plano individualizado e à adaptação de material procuram reduzir o esforço do docente na elaboração do plano e na preparação de atividades acessíveis. Foram considerados apenas produtos com documentação pública verificável, consultada pelos autores em 13/10/2026 e conferida novamente em 26/10/2026; nenhum deles é de autoria dos autores deste trabalho. Como a comparação depende do que cada fornecedor publica, uma característica não documentada aparece como tal, e não como ausente.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 plataforma brasileira Prova Adaptada, oferecida também sob o nome IncluiAI (Prova Adaptada, 2026), utiliza inteligência artificial para gerar o PEI e adaptar atividades e provas elaboradas pelo docente, sem descrever perfil individual atualizado ciclo a ciclo, validação por profissional de saúde nem modo de funcionamento sem IA. A plataforma Vínculoo (Vínculoo, 2026) organiza o PEI e o Plano de Atendimento Educacional Especializado em um padrão único, prevê devolutiva à família e oferece um assistente de IA que lê laudos e observações, rascunha metas e adapta a atividade da turma, com revisão final do professor; menciona equipe multidisciplinar, sem descrever validação formal por profissional de saúde.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No cenário internacional, as plataformas Frontline Education (Frontline Education, 2026) e Goalbook Toolkit (Goalbook, 2026) apoiam o Individualized Education Program (IEP), equivalente ao PEI, com foco na conformidade regulatória, na escrita colaborativa do plano e na redação de metas, sem descrever a geração do material usado em sala. Já o Leitor Imersivo da Microsoft (Microsoft, 2024) é uma ferramenta de leitura que isola o texto, lê em voz alta, separa sílabas e exibe imagens para palavras comuns, voltada a leitores iniciantes e a pessoas com dislexia; ele apoia a leitura de qualquer texto, mas não mantém plano individual, perfil do estudante nem fluxo entre escola, família e saúde.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PEI Vivo aplica princípios semelhantes aos dessas duas famílias de solução: do lado do plano, mantém um perfil por estudante com seis parâmetros, recalculado a cada ciclo e validado pelo profissional de saúde vinculado; do lado do material, gera o texto adaptado por regras determinísticas, com apoios de leitura semelhantes aos do Leitor Imersivo, mas parametrizados pelo perfil e sempre aprovados pelo docente. A comparação, resumida no Quadro 1, serve como referência conceitual, sem afirmar que as funcionalidades ou os resultados dos sistemas analisados sejam iguais aos do projeto.</w:t>
      </w:r>
    </w:p>
    <w:p>
      <w:pPr>
        <w:keepNext/>
        <w:spacing w:line="240" w:lineRule="auto" w:before="240" w:after="120"/>
        <w:jc w:val="center"/>
      </w:pPr>
      <w:r>
        <w:rPr>
          <w:rFonts w:ascii="Arial" w:hAnsi="Arial"/>
          <w:b/>
          <w:i w:val="0"/>
          <w:sz w:val="20"/>
        </w:rPr>
        <w:t>Quadro 1 – Comparação entre o PEI Vivo e sistemas semelhantes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8"/>
        <w:gridCol w:w="1234"/>
        <w:gridCol w:w="1919"/>
        <w:gridCol w:w="1430"/>
        <w:gridCol w:w="1136"/>
        <w:gridCol w:w="1821"/>
      </w:tblGrid>
      <w:tr>
        <w:trPr>
          <w:tblHeader/>
        </w:trPr>
        <w:tc>
          <w:tcPr>
            <w:tcW w:type="dxa" w:w="1528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Critério</w:t>
            </w:r>
          </w:p>
        </w:tc>
        <w:tc>
          <w:tcPr>
            <w:tcW w:type="dxa" w:w="1234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Prova Adaptada (IncluiAI)</w:t>
            </w:r>
          </w:p>
        </w:tc>
        <w:tc>
          <w:tcPr>
            <w:tcW w:type="dxa" w:w="1920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Vínculoo</w:t>
            </w:r>
          </w:p>
        </w:tc>
        <w:tc>
          <w:tcPr>
            <w:tcW w:type="dxa" w:w="1430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Frontline / Goalbook</w:t>
            </w:r>
          </w:p>
        </w:tc>
        <w:tc>
          <w:tcPr>
            <w:tcW w:type="dxa" w:w="1137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Leitor Imersivo</w:t>
            </w:r>
          </w:p>
        </w:tc>
        <w:tc>
          <w:tcPr>
            <w:tcW w:type="dxa" w:w="1822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PEI Vivo</w:t>
            </w:r>
          </w:p>
        </w:tc>
      </w:tr>
      <w:tr>
        <w:tc>
          <w:tcPr>
            <w:tcW w:type="dxa" w:w="1528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Perfil individual atualizado por ciclo</w:t>
            </w:r>
          </w:p>
        </w:tc>
        <w:tc>
          <w:tcPr>
            <w:tcW w:type="dxa" w:w="1234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N/D</w:t>
            </w:r>
          </w:p>
        </w:tc>
        <w:tc>
          <w:tcPr>
            <w:tcW w:type="dxa" w:w="1920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N/D (revisões do PEI)</w:t>
            </w:r>
          </w:p>
        </w:tc>
        <w:tc>
          <w:tcPr>
            <w:tcW w:type="dxa" w:w="1430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Metas do IEP</w:t>
            </w:r>
          </w:p>
        </w:tc>
        <w:tc>
          <w:tcPr>
            <w:tcW w:type="dxa" w:w="1137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822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Sim (6 parâmetros, ciclo quinzenal)</w:t>
            </w:r>
          </w:p>
        </w:tc>
      </w:tr>
      <w:tr>
        <w:tc>
          <w:tcPr>
            <w:tcW w:type="dxa" w:w="1528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Participação formal da saúde</w:t>
            </w:r>
          </w:p>
        </w:tc>
        <w:tc>
          <w:tcPr>
            <w:tcW w:type="dxa" w:w="1234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N/D</w:t>
            </w:r>
          </w:p>
        </w:tc>
        <w:tc>
          <w:tcPr>
            <w:tcW w:type="dxa" w:w="192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N/D (equipe multidisciplinar)</w:t>
            </w:r>
          </w:p>
        </w:tc>
        <w:tc>
          <w:tcPr>
            <w:tcW w:type="dxa" w:w="143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N/D</w:t>
            </w:r>
          </w:p>
        </w:tc>
        <w:tc>
          <w:tcPr>
            <w:tcW w:type="dxa" w:w="113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82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Validação do conjunto de parâmetros</w:t>
            </w:r>
          </w:p>
        </w:tc>
      </w:tr>
      <w:tr>
        <w:tc>
          <w:tcPr>
            <w:tcW w:type="dxa" w:w="1528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Geração de material adaptado</w:t>
            </w:r>
          </w:p>
        </w:tc>
        <w:tc>
          <w:tcPr>
            <w:tcW w:type="dxa" w:w="1234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Sim (IA)</w:t>
            </w:r>
          </w:p>
        </w:tc>
        <w:tc>
          <w:tcPr>
            <w:tcW w:type="dxa" w:w="192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Sim (IA, a partir de documentos e laudos)</w:t>
            </w:r>
          </w:p>
        </w:tc>
        <w:tc>
          <w:tcPr>
            <w:tcW w:type="dxa" w:w="143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N/D</w:t>
            </w:r>
          </w:p>
        </w:tc>
        <w:tc>
          <w:tcPr>
            <w:tcW w:type="dxa" w:w="113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Não (apoia a leitura de texto pronto)</w:t>
            </w:r>
          </w:p>
        </w:tc>
        <w:tc>
          <w:tcPr>
            <w:tcW w:type="dxa" w:w="182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Sim (regras determinísticas, sem laudo)</w:t>
            </w:r>
          </w:p>
        </w:tc>
      </w:tr>
      <w:tr>
        <w:tc>
          <w:tcPr>
            <w:tcW w:type="dxa" w:w="1528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Apoios de leitura no material</w:t>
            </w:r>
          </w:p>
        </w:tc>
        <w:tc>
          <w:tcPr>
            <w:tcW w:type="dxa" w:w="1234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N/D</w:t>
            </w:r>
          </w:p>
        </w:tc>
        <w:tc>
          <w:tcPr>
            <w:tcW w:type="dxa" w:w="192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N/D</w:t>
            </w:r>
          </w:p>
        </w:tc>
        <w:tc>
          <w:tcPr>
            <w:tcW w:type="dxa" w:w="143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Não se aplica</w:t>
            </w:r>
          </w:p>
        </w:tc>
        <w:tc>
          <w:tcPr>
            <w:tcW w:type="dxa" w:w="113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Sim (voz, sílabas, imagens, tradução)</w:t>
            </w:r>
          </w:p>
        </w:tc>
        <w:tc>
          <w:tcPr>
            <w:tcW w:type="dxa" w:w="182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Sim (blocos, etapas, glossário, pictograma, voz)</w:t>
            </w:r>
          </w:p>
        </w:tc>
      </w:tr>
      <w:tr>
        <w:tc>
          <w:tcPr>
            <w:tcW w:type="dxa" w:w="1528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Funciona sem IA</w:t>
            </w:r>
          </w:p>
        </w:tc>
        <w:tc>
          <w:tcPr>
            <w:tcW w:type="dxa" w:w="1234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N/D</w:t>
            </w:r>
          </w:p>
        </w:tc>
        <w:tc>
          <w:tcPr>
            <w:tcW w:type="dxa" w:w="192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N/D</w:t>
            </w:r>
          </w:p>
        </w:tc>
        <w:tc>
          <w:tcPr>
            <w:tcW w:type="dxa" w:w="143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Não se aplica</w:t>
            </w:r>
          </w:p>
        </w:tc>
        <w:tc>
          <w:tcPr>
            <w:tcW w:type="dxa" w:w="113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82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Sim (IA desligada por padrão)</w:t>
            </w:r>
          </w:p>
        </w:tc>
      </w:tr>
      <w:tr>
        <w:tc>
          <w:tcPr>
            <w:tcW w:type="dxa" w:w="1528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Consentimento granular e revogável</w:t>
            </w:r>
          </w:p>
        </w:tc>
        <w:tc>
          <w:tcPr>
            <w:tcW w:type="dxa" w:w="1234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N/D</w:t>
            </w:r>
          </w:p>
        </w:tc>
        <w:tc>
          <w:tcPr>
            <w:tcW w:type="dxa" w:w="192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N/D</w:t>
            </w:r>
          </w:p>
        </w:tc>
        <w:tc>
          <w:tcPr>
            <w:tcW w:type="dxa" w:w="143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N/D</w:t>
            </w:r>
          </w:p>
        </w:tc>
        <w:tc>
          <w:tcPr>
            <w:tcW w:type="dxa" w:w="113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Não se aplica</w:t>
            </w:r>
          </w:p>
        </w:tc>
        <w:tc>
          <w:tcPr>
            <w:tcW w:type="dxa" w:w="182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Sim (4 escopos, revogação imediata)</w:t>
            </w:r>
          </w:p>
        </w:tc>
      </w:tr>
      <w:tr>
        <w:tc>
          <w:tcPr>
            <w:tcW w:type="dxa" w:w="1528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Permissões aplicadas no banco e auditadas</w:t>
            </w:r>
          </w:p>
        </w:tc>
        <w:tc>
          <w:tcPr>
            <w:tcW w:type="dxa" w:w="1234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N/D</w:t>
            </w:r>
          </w:p>
        </w:tc>
        <w:tc>
          <w:tcPr>
            <w:tcW w:type="dxa" w:w="192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N/D</w:t>
            </w:r>
          </w:p>
        </w:tc>
        <w:tc>
          <w:tcPr>
            <w:tcW w:type="dxa" w:w="143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Acesso por papel (camada não documentada)</w:t>
            </w:r>
          </w:p>
        </w:tc>
        <w:tc>
          <w:tcPr>
            <w:tcW w:type="dxa" w:w="113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Não se aplica</w:t>
            </w:r>
          </w:p>
        </w:tc>
        <w:tc>
          <w:tcPr>
            <w:tcW w:type="dxa" w:w="182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Sim (RLS em 15 tabelas e auditoria)</w:t>
            </w:r>
          </w:p>
        </w:tc>
      </w:tr>
    </w:tbl>
    <w:p>
      <w:pPr>
        <w:spacing w:line="240" w:lineRule="auto" w:before="40" w:after="240"/>
        <w:jc w:val="left"/>
      </w:pPr>
      <w:r>
        <w:rPr>
          <w:rFonts w:ascii="Arial" w:hAnsi="Arial"/>
          <w:b w:val="0"/>
          <w:i/>
          <w:sz w:val="20"/>
        </w:rPr>
        <w:t>Fonte: PEI Vivo (2026), com base na documentação pública das soluções e no código-fonte do projeto. N/D: não documentado pelo fornecedor.</w:t>
      </w:r>
    </w:p>
    <w:p>
      <w:pPr>
        <w:keepNext/>
        <w:spacing w:line="360" w:lineRule="auto" w:before="240" w:after="60"/>
        <w:jc w:val="left"/>
      </w:pPr>
      <w:r>
        <w:rPr>
          <w:rFonts w:ascii="Arial" w:hAnsi="Arial"/>
          <w:b/>
          <w:i w:val="0"/>
          <w:sz w:val="24"/>
        </w:rPr>
        <w:t>2.3 Tecnologias utilizadas no desenvolvimento web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 construção de sistemas de informação demanda escolhas arquiteturais que equilibrem manutenibilidade, desempenho, segurança e confiabilidade, características de qualidade definidas na norma ISO/IEC 25010 (International Organization for Standardization, 2023). No PEI Vivo, adotou-se a linguagem TypeScript em todas as camadas, por sua tipagem estática, que permite detectar em tempo de compilação uma configuração inválida de parâmetros de adaptação. A interface foi construída com a biblioteca React e a ferramenta de build Vite.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No lado do servidor, o projeto utiliza a plataforma Supabase, que reúne o banco PostgreSQL, autenticação com segundo fator (TOTP) e funções serverless, as Edge Functions, executadas fora do navegador (Supabase, 2025). Nessa plataforma, o navegador acessa o banco diretamente por uma API gerada a partir do esquema; por isso, a documentação orienta a habilitar o controle de acesso por linha em todas as tabelas expostas (Supabase, 2025). Essa característica explica a divisão adotada: leituras e escritas simples passam pelas políticas do banco, enquanto as operações que precisam de credenciais de serviço, como gerar material e fechar um ciclo, ficam em Edge Functions, que conferem de novo, no banco, o papel e o consentimento de quem as chama.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 escolha dessas tecnologias está alinhada à natureza web do PEI Vivo e à necessidade de disponibilizar as mesmas regras de acesso para todos os perfis, em uma interface comum, sem que a segurança dependa da tela utilizada.</w:t>
      </w:r>
    </w:p>
    <w:p>
      <w:pPr>
        <w:keepNext/>
        <w:spacing w:line="360" w:lineRule="auto" w:before="240" w:after="60"/>
        <w:jc w:val="left"/>
      </w:pPr>
      <w:r>
        <w:rPr>
          <w:rFonts w:ascii="Arial" w:hAnsi="Arial"/>
          <w:b/>
          <w:i w:val="0"/>
          <w:sz w:val="24"/>
        </w:rPr>
        <w:t>2.4 Banco de dados, proteção de dados e controle de acesso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tratamento de dados de crianças e adolescentes com deficiência envolve dado pessoal sensível, definido pela Lei Geral de Proteção de Dados (LGPD) como, entre outros, o dado referente à saúde vinculado a uma pessoa natural (Brasil, 2018, art. 5º, II e art. 11), e exige consentimento específico e em destaque dado por pelo menos um dos pais ou pelo responsável legal (Brasil, 2018, art. 14, § 1º). A lei também impõe os princípios da finalidade, da necessidade, da segurança, da prevenção e da responsabilização e prestação de contas (Brasil, 2018, art. 6º, I, III, VII, VIII e X), segundo os quais cada pessoa deve acessar apenas o mínimo necessário à sua função e o controlador deve demonstrar a adoção de medidas eficazes.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Para atender a esses princípios de forma verificável, o PEI Vivo adota o sistema gerenciador de banco de dados relacional PostgreSQL, que oferece Row Level Security (RLS): políticas que restringem, na própria camada do banco, quais linhas de uma tabela cada usuário autenticado pode ler ou modificar (PostgreSQL Global Development Group, 2025). Com isso, a restrição de acesso de um docente às notas reservadas do profissional de saúde, por exemplo, é aplicada pelo banco independentemente da interface, o que impede que a informação seja obtida por chamada direta à interface de programação de aplicações (API).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 LGPD também assegura ao titular, ou ao responsável no caso de crianças, os direitos de acesso aos dados, de eliminação dos dados tratados com consentimento e de revogação do consentimento (Brasil, 2018, art. 18, II, VI e IX), e determina que controlador e operador mantenham registro das operações de tratamento (Brasil, 2018, art. 37). No PEI Vivo, esses dispositivos orientam a revogação do consentimento com bloqueio imediato das gerações, a exportação dos dados do estudante a pedido do responsável e uma tabela de auditoria, escrita apenas por gatilhos do banco, que registra concessões, revogações, fechamentos de ciclo, validações e cada leitura de nota clínica.</w:t>
      </w:r>
    </w:p>
    <w:p>
      <w:pPr>
        <w:keepNext/>
        <w:spacing w:line="360" w:lineRule="auto" w:before="240" w:after="60"/>
        <w:jc w:val="left"/>
      </w:pPr>
      <w:r>
        <w:rPr>
          <w:rFonts w:ascii="Arial" w:hAnsi="Arial"/>
          <w:b/>
          <w:i w:val="0"/>
          <w:sz w:val="24"/>
        </w:rPr>
        <w:t>2.5 Adaptação de texto, acessibilidade e protótipo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Transtorno do Espectro Autista (TEA), o TDAH e a dislexia são transtornos do neurodesenvolvimento com manifestações distintas, mas com efeitos convergentes sobre a leitura de materiais escolares (American Psychiatric Association, 2023). No TDAH, a dificuldade de sustentar a atenção torna textos longos e enunciados com várias instruções encadeadas mais custosos; na dislexia, a decodificação mais lenta aumenta o peso de vocabulário pouco frequente e de blocos densos de texto; no TEA, a sensibilidade sensorial e a preferência por instruções explícitas tornam relevantes o contraste visual, a previsibilidade da estrutura e o uso de interesses específicos como ponto de entrada. Por isso o sistema registra seis dimensões observáveis (atenção sustentada, compreensão de enunciados, autonomia com palavras, interesse manifesto, sensibilidade visual e cansaço na tarefa), em escala de três pontos (reduzida, estável, ampliada), e não armazena laudo nem diagnóstico.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Desenho Universal para a Aprendizagem (DUA) propõe oferecer múltiplos meios de engajamento, de representação e de ação e expressão, reduzindo barreiras sem alterar o objetivo de aprendizagem (CAST, 2018). O PEI Vivo atua sobretudo no segundo princípio: o texto é o mesmo da turma, mas apresentado em blocos de poucas linhas, com enunciados compostos divididos em etapas, contraste mínimo configurável, limite de blocos por material e apoios de leitura (pictograma por etapa, glossário de palavras e leitura em voz alta). Cada dimensão observada corresponde a um parâmetro de apresentação; essa correspondência é uma hipótese de projeto, e não uma relação estabelecida pela literatura consultada, e por isso cada parâmetro é explícito, limitado a uma faixa válida e ajustável pelo profissional de saúde a cada ciclo.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As WCAG 2.2 organizam os critérios de acessibilidade em quatro princípios, segundo os quais o conteúdo deve ser perceptível, operável, compreensível e robusto (World Wide Web Consortium, 2024), também incorporados à ABNT NBR 17225 (Associação Brasileira de Normas Técnicas, 2025). Os limiares de contraste adotados (4,5:1 e 7:1) correspondem aos critérios de sucesso 1.4.3 (nível AA) e 1.4.6 (nível AAA), e a preferência por fontes sem serifa encontra apoio em Rello e Baeza-Yates (2013), que mediram o desempenho de leitura de pessoas com dislexia em diferentes fontes. No sistema, esses critérios valem para dois públicos: as pessoas que usam as telas e o estudante que recebe o material.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No projeto, o protótipo permite organizar a interação conforme os perfis e demonstrar como as informações circulam entre as etapas do ciclo. Todo material gerado passa por revisão e aprovação explícita do docente antes de chegar ao estudante, de modo que a adaptação automática é sempre uma proposta, e não uma publicação, e o material existe em versão web acessível e em versão para impressão, o que atende escolas com poucos equipamentos. A existência do protótipo, por si só, não comprova a usabilidade nem a eficácia pedagógica; essas conclusões exigem a avaliação com usuários pela System Usability Scale (SUS), instrumento breve para avaliar a percepção dos usuários sobre a facilidade de uso (Brooke, 1996).</w:t>
      </w:r>
    </w:p>
    <w:p>
      <w:pPr>
        <w:keepNext/>
        <w:spacing w:line="360" w:lineRule="auto" w:before="240" w:after="60"/>
        <w:jc w:val="left"/>
      </w:pPr>
      <w:r>
        <w:rPr>
          <w:rFonts w:ascii="Arial" w:hAnsi="Arial"/>
          <w:b/>
          <w:i w:val="0"/>
          <w:sz w:val="24"/>
        </w:rPr>
        <w:t>2.6 Código e organização da aplicação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 separação entre uma camada determinística, implementada como código-fonte auditável, e uma camada opcional assistida por modelo de linguagem decorre de exigência de confiabilidade: regras que alteram o material recebido por uma criança devem ser verificáveis e reproduzíveis, condição que código determinístico satisfaz e que a saída de um modelo de linguagem não garante. No PEI Vivo, a camada de IA existe no código, porém está desligada por padrão e, quando ligada, só recebe o texto e os parâmetros, nunca dados do estudante.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Para que a mesma regra valha em todas as camadas, o código foi organizado em pacotes independentes: o motor de adaptação, com funções puras sem acesso a banco ou rede; os casos de uso das Edge Functions, que recebem o banco e os serviços externos como dependências injetadas e, por isso, são testáveis sem infraestrutura; e os contratos de entrada e saída, escritos uma única vez com a biblioteca Zod e usados tanto na validação dos formulários quanto na validação das requisições no servidor. Essa separação permite verificar cada regra isoladamente antes de integrá-la ao banco e à interface, e torna mais simples localizar e corrigir inconsistências.</w:t>
      </w:r>
    </w:p>
    <w:p>
      <w:pPr>
        <w:keepNext/>
        <w:spacing w:line="360" w:lineRule="auto" w:before="360" w:after="120"/>
        <w:jc w:val="left"/>
      </w:pPr>
      <w:r>
        <w:rPr>
          <w:rFonts w:ascii="Arial" w:hAnsi="Arial"/>
          <w:b/>
          <w:i w:val="0"/>
          <w:sz w:val="24"/>
        </w:rPr>
        <w:t>3. METODOLOGIA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 pesquisa é aplicada, exploratória e descritiva, orientada ao desenvolvimento de um artefato computacional para apoiar o acompanhamento do estudante e a adaptação de material didático. A metodologia contempla o levantamento das necessidades, a modelagem UML, a definição das tecnologias web, a estruturação da base PostgreSQL com políticas de acesso e o desenvolvimento do protótipo. O processo foi organizado incrementalmente, com definição de requisitos, regras de negócio e procedimentos de verificação para cada parte do ciclo.</w:t>
      </w:r>
    </w:p>
    <w:p>
      <w:pPr>
        <w:keepNext/>
        <w:spacing w:line="360" w:lineRule="auto" w:before="240" w:after="60"/>
        <w:jc w:val="left"/>
      </w:pPr>
      <w:r>
        <w:rPr>
          <w:rFonts w:ascii="Arial" w:hAnsi="Arial"/>
          <w:b/>
          <w:i w:val="0"/>
          <w:sz w:val="24"/>
        </w:rPr>
        <w:t>3.1 Classificação da pesquisa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Quanto à natureza, a pesquisa é aplicada, por ter como finalidade a geração de conhecimento dirigido à solução de um problema específico (Prodanov; Freitas, 2013). Quanto aos objetivos, é exploratória e descritiva. Quanto aos procedimentos, segue a Design Science Research (Hevner et al., 2004; Dresch; Lacerda; Antunes Júnior, 2015), abordagem que orienta a construção de um artefato para resolver um problema relevante e a sua avaliação com critérios definidos previamente. O artefato é o PEI Vivo; a avaliação combina verificação técnica automatizada e avaliação de usabilidade com usuários (seção 3.4). Não houve experimento controlado. </w:t>
      </w:r>
      <w:r>
        <w:rPr>
          <w:rFonts w:ascii="Arial" w:hAnsi="Arial"/>
          <w:b w:val="0"/>
          <w:i w:val="0"/>
          <w:sz w:val="24"/>
          <w:highlight w:val="yellow"/>
        </w:rPr>
        <w:t>[CONFIRMAR COM O AVALIADOR: a versão avaliada classificava os procedimentos como pesquisa bibliográfica e experimental; a classificação mudou porque não houve manipulação de variáveis com grupo de controle.]</w:t>
      </w:r>
    </w:p>
    <w:p>
      <w:pPr>
        <w:keepNext/>
        <w:spacing w:line="360" w:lineRule="auto" w:before="240" w:after="60"/>
        <w:jc w:val="left"/>
      </w:pPr>
      <w:r>
        <w:rPr>
          <w:rFonts w:ascii="Arial" w:hAnsi="Arial"/>
          <w:b/>
          <w:i w:val="0"/>
          <w:sz w:val="24"/>
        </w:rPr>
        <w:t>3.1.1 Participação na pesquisa e instrumento de coleta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 coleta de dados foi realizada por meio de um questionário eletrônico no Google Forms, aplicado em setembro de 2026 a 27 pessoas envolvidas no acompanhamento de estudantes neurodivergentes: 12 responsáveis, 10 profissionais de apoio escolar e 5 docentes. O questionário abordou a comunicação atual entre escola, família e saúde, a avaliação da proposta em escala de 1 a 5 e as preocupações com a plataforma. Nenhum profissional de saúde respondeu, o que constitui limitação relevante, já que esse é o perfil que valida os parâmetros no sistema. Por se tratar de uma amostra por conveniência, os resultados representam as percepções dos participantes, não podendo ser generalizados.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Para 63,0% dos respondentes a comunicação atual é informal e fragmentada, enquanto 18,5% discordaram dessa afirmação. A proposta recebeu nota 4 ou 5 de 81,5% (22 de 27). As preocupações mais citadas foram a dependência de tecnologia em escolas com poucos recursos (59,3%), a privacidade dos dados da criança (51,9%) e a confiabilidade do material gerado por IA (37,0%); 11,1% não indicaram preocupação. </w:t>
      </w:r>
      <w:r>
        <w:rPr>
          <w:rFonts w:ascii="Arial" w:hAnsi="Arial"/>
          <w:b w:val="0"/>
          <w:i w:val="0"/>
          <w:sz w:val="24"/>
          <w:highlight w:val="yellow"/>
        </w:rPr>
        <w:t>[CONFERIR: recontar cada percentual na planilha original com CONT.SE antes da entrega.]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Como a pergunta de avaliação foi feita logo após a apresentação da proposta pelos autores, o resultado indica aceitação inicial do conceito, e não validação do produto. As regras de privacidade já constavam da especificação antes da coleta; as respostas as confirmaram, e a preocupação com dependência de tecnologia orientou a decisão de manter uma camada que funciona sem IA e a versão impressa do material.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O formulário coletou nome e e-mail dos participantes, dado que não era necessário à análise, e não apresentou Termo de Consentimento Livre e Esclarecido (TCLE). Para a análise, as respostas foram codificadas de R01 a R27 e os identificadores foram descartados. </w:t>
      </w:r>
      <w:r>
        <w:rPr>
          <w:rFonts w:ascii="Arial" w:hAnsi="Arial"/>
          <w:b w:val="0"/>
          <w:i w:val="0"/>
          <w:sz w:val="24"/>
          <w:highlight w:val="yellow"/>
        </w:rPr>
        <w:t>[CONFERIR: executar a anonimização antes de citar esta frase.]</w:t>
      </w:r>
      <w:r>
        <w:rPr>
          <w:rFonts w:ascii="Arial" w:hAnsi="Arial"/>
          <w:b w:val="0"/>
          <w:i w:val="0"/>
          <w:sz w:val="24"/>
        </w:rPr>
        <w:t xml:space="preserve"> A pesquisa de opinião com participantes não identificados está dispensada de registro no sistema CEP/Conep (Brasil, 2016, art. 1º, parágrafo único, I) </w:t>
      </w:r>
      <w:r>
        <w:rPr>
          <w:rFonts w:ascii="Arial" w:hAnsi="Arial"/>
          <w:b w:val="0"/>
          <w:i w:val="0"/>
          <w:sz w:val="24"/>
          <w:highlight w:val="yellow"/>
        </w:rPr>
        <w:t>[CONFERIR: inciso com a orientadora]</w:t>
      </w:r>
      <w:r>
        <w:rPr>
          <w:rFonts w:ascii="Arial" w:hAnsi="Arial"/>
          <w:b w:val="0"/>
          <w:i w:val="0"/>
          <w:sz w:val="24"/>
        </w:rPr>
        <w:t>; a avaliação de usabilidade usa formulário anônimo com TCLE na primeira página.</w:t>
      </w:r>
    </w:p>
    <w:p>
      <w:pPr>
        <w:keepNext/>
        <w:spacing w:line="360" w:lineRule="auto" w:before="240" w:after="60"/>
        <w:jc w:val="left"/>
      </w:pPr>
      <w:r>
        <w:rPr>
          <w:rFonts w:ascii="Arial" w:hAnsi="Arial"/>
          <w:b/>
          <w:i w:val="0"/>
          <w:sz w:val="24"/>
        </w:rPr>
        <w:t>3.2 Método de desenvolvimento e modelagem UML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desenvolvimento do PEI Vivo foi planejado de forma iterativa porque a solução reúne módulos interdependentes e atende a perfis com responsabilidades diferentes. A construção foi organizada em marcos: especificação (requisitos, regras de negócio e modelagem UML), banco de dados com políticas de acesso, motor de adaptação, protótipo de interface e, após uma auditoria interna em 07/10/2026 que encontrou 25 de 31 tentativas de acesso indevido aceitas pelas políticas da época, uma reformulação em seis marcos: banco que nega, autenticação real, regras no servidor, experiência de uso e verificação final. Cada decisão de projeto foi registrada com código próprio e justificativa, e o trabalho foi acompanhado em quadro Kanban no GitHub. O repositório está disponível em https://github.com/geandreac/tcc-peivivo.</w:t>
      </w:r>
    </w:p>
    <w:p>
      <w:pPr>
        <w:keepNext/>
        <w:spacing w:line="360" w:lineRule="auto" w:before="240" w:after="60"/>
        <w:jc w:val="left"/>
      </w:pPr>
      <w:r>
        <w:rPr>
          <w:rFonts w:ascii="Arial" w:hAnsi="Arial"/>
          <w:b/>
          <w:i w:val="0"/>
          <w:sz w:val="24"/>
        </w:rPr>
        <w:t>3.2.1 Requisitos Funcionais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Os requisitos funcionais descrevem as ações que o sistema PEI Vivo deve executar para atender aos perfis envolvidos no acompanhamento do estudante, da obtenção do consentimento à exportação dos dados. Em 26/10/2026, todos estavam implementados, exceto o RF10, desligado por padrão, e a exclusão de dados prevista no RF15. Conforme citado na Tabela 1:</w:t>
      </w:r>
    </w:p>
    <w:p>
      <w:pPr>
        <w:keepNext/>
        <w:spacing w:line="240" w:lineRule="auto" w:before="240" w:after="120"/>
        <w:jc w:val="center"/>
      </w:pPr>
      <w:r>
        <w:rPr>
          <w:rFonts w:ascii="Arial" w:hAnsi="Arial"/>
          <w:b/>
          <w:i w:val="0"/>
          <w:sz w:val="20"/>
        </w:rPr>
        <w:t>Tabela 1 – Requisitos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"/>
        <w:gridCol w:w="2338"/>
        <w:gridCol w:w="5632"/>
      </w:tblGrid>
      <w:tr>
        <w:trPr>
          <w:tblHeader/>
        </w:trPr>
        <w:tc>
          <w:tcPr>
            <w:tcW w:type="dxa" w:w="1099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ID</w:t>
            </w:r>
          </w:p>
        </w:tc>
        <w:tc>
          <w:tcPr>
            <w:tcW w:type="dxa" w:w="2339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Requisito Funcional</w:t>
            </w:r>
          </w:p>
        </w:tc>
        <w:tc>
          <w:tcPr>
            <w:tcW w:type="dxa" w:w="5633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Descrição</w:t>
            </w:r>
          </w:p>
        </w:tc>
      </w:tr>
      <w:tr>
        <w:tc>
          <w:tcPr>
            <w:tcW w:type="dxa" w:w="1099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RF01</w:t>
            </w:r>
          </w:p>
        </w:tc>
        <w:tc>
          <w:tcPr>
            <w:tcW w:type="dxa" w:w="2339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Cadastrar estudante e vínculos</w:t>
            </w:r>
          </w:p>
        </w:tc>
        <w:tc>
          <w:tcPr>
            <w:tcW w:type="dxa" w:w="5633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Permitir à coordenação cadastrar o estudante e propor os vínculos de docente e de profissional de saúde.</w:t>
            </w:r>
          </w:p>
        </w:tc>
      </w:tr>
      <w:tr>
        <w:tc>
          <w:tcPr>
            <w:tcW w:type="dxa" w:w="109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RF02</w:t>
            </w:r>
          </w:p>
        </w:tc>
        <w:tc>
          <w:tcPr>
            <w:tcW w:type="dxa" w:w="233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Registrar consentimento</w:t>
            </w:r>
          </w:p>
        </w:tc>
        <w:tc>
          <w:tcPr>
            <w:tcW w:type="dxa" w:w="5633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Permitir ao responsável conceder ou revogar o consentimento por escopo, com registro na trilha de auditoria.</w:t>
            </w:r>
          </w:p>
        </w:tc>
      </w:tr>
      <w:tr>
        <w:tc>
          <w:tcPr>
            <w:tcW w:type="dxa" w:w="109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RF03</w:t>
            </w:r>
          </w:p>
        </w:tc>
        <w:tc>
          <w:tcPr>
            <w:tcW w:type="dxa" w:w="233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Registrar observação do docente</w:t>
            </w:r>
          </w:p>
        </w:tc>
        <w:tc>
          <w:tcPr>
            <w:tcW w:type="dxa" w:w="5633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Permitir ao docente registrar, a cada ciclo quinzenal, a observação estruturada das seis dimensões.</w:t>
            </w:r>
          </w:p>
        </w:tc>
      </w:tr>
      <w:tr>
        <w:tc>
          <w:tcPr>
            <w:tcW w:type="dxa" w:w="109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RF04</w:t>
            </w:r>
          </w:p>
        </w:tc>
        <w:tc>
          <w:tcPr>
            <w:tcW w:type="dxa" w:w="233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Registrar observações complementares</w:t>
            </w:r>
          </w:p>
        </w:tc>
        <w:tc>
          <w:tcPr>
            <w:tcW w:type="dxa" w:w="5633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Permitir ao responsável e ao profissional de saúde registrar suas observações no mesmo ciclo.</w:t>
            </w:r>
          </w:p>
        </w:tc>
      </w:tr>
      <w:tr>
        <w:tc>
          <w:tcPr>
            <w:tcW w:type="dxa" w:w="109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RF05</w:t>
            </w:r>
          </w:p>
        </w:tc>
        <w:tc>
          <w:tcPr>
            <w:tcW w:type="dxa" w:w="233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Calcular parâmetros</w:t>
            </w:r>
          </w:p>
        </w:tc>
        <w:tc>
          <w:tcPr>
            <w:tcW w:type="dxa" w:w="5633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Converter as observações do ciclo em parâmetros de adaptação por regras determinísticas.</w:t>
            </w:r>
          </w:p>
        </w:tc>
      </w:tr>
      <w:tr>
        <w:tc>
          <w:tcPr>
            <w:tcW w:type="dxa" w:w="109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RF06</w:t>
            </w:r>
          </w:p>
        </w:tc>
        <w:tc>
          <w:tcPr>
            <w:tcW w:type="dxa" w:w="233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Submeter à validação</w:t>
            </w:r>
          </w:p>
        </w:tc>
        <w:tc>
          <w:tcPr>
            <w:tcW w:type="dxa" w:w="5633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Enviar os parâmetros do ciclo para a validação do profissional de saúde vinculado.</w:t>
            </w:r>
          </w:p>
        </w:tc>
      </w:tr>
      <w:tr>
        <w:tc>
          <w:tcPr>
            <w:tcW w:type="dxa" w:w="109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RF07</w:t>
            </w:r>
          </w:p>
        </w:tc>
        <w:tc>
          <w:tcPr>
            <w:tcW w:type="dxa" w:w="233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Processar a validação</w:t>
            </w:r>
          </w:p>
        </w:tc>
        <w:tc>
          <w:tcPr>
            <w:tcW w:type="dxa" w:w="5633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Registrar aprovação, pedido de revisão ou ajuste e expirar a proposta sem resposta em 7 dias.</w:t>
            </w:r>
          </w:p>
        </w:tc>
      </w:tr>
      <w:tr>
        <w:tc>
          <w:tcPr>
            <w:tcW w:type="dxa" w:w="109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RF08</w:t>
            </w:r>
          </w:p>
        </w:tc>
        <w:tc>
          <w:tcPr>
            <w:tcW w:type="dxa" w:w="233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Gerar material adaptado</w:t>
            </w:r>
          </w:p>
        </w:tc>
        <w:tc>
          <w:tcPr>
            <w:tcW w:type="dxa" w:w="5633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Gerar o material a partir do texto inserido pelo docente e dos parâmetros vigentes.</w:t>
            </w:r>
          </w:p>
        </w:tc>
      </w:tr>
      <w:tr>
        <w:tc>
          <w:tcPr>
            <w:tcW w:type="dxa" w:w="109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RF09</w:t>
            </w:r>
          </w:p>
        </w:tc>
        <w:tc>
          <w:tcPr>
            <w:tcW w:type="dxa" w:w="233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Aplicar camada determinística</w:t>
            </w:r>
          </w:p>
        </w:tc>
        <w:tc>
          <w:tcPr>
            <w:tcW w:type="dxa" w:w="5633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Segmentar o texto, dividir enunciados em etapas e aplicar contraste e apoios de leitura.</w:t>
            </w:r>
          </w:p>
        </w:tc>
      </w:tr>
      <w:tr>
        <w:tc>
          <w:tcPr>
            <w:tcW w:type="dxa" w:w="109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RF10</w:t>
            </w:r>
          </w:p>
        </w:tc>
        <w:tc>
          <w:tcPr>
            <w:tcW w:type="dxa" w:w="233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Aplicar camada de IA</w:t>
            </w:r>
          </w:p>
        </w:tc>
        <w:tc>
          <w:tcPr>
            <w:tcW w:type="dxa" w:w="5633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Simplificar o vocabulário com modelo de linguagem, quando habilitada (desligada por padrão).</w:t>
            </w:r>
          </w:p>
        </w:tc>
      </w:tr>
      <w:tr>
        <w:tc>
          <w:tcPr>
            <w:tcW w:type="dxa" w:w="109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RF11</w:t>
            </w:r>
          </w:p>
        </w:tc>
        <w:tc>
          <w:tcPr>
            <w:tcW w:type="dxa" w:w="233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Revisar e aprovar material</w:t>
            </w:r>
          </w:p>
        </w:tc>
        <w:tc>
          <w:tcPr>
            <w:tcW w:type="dxa" w:w="5633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Permitir ao docente revisar, editar e aprovar o material antes que ele chegue ao estudante.</w:t>
            </w:r>
          </w:p>
        </w:tc>
      </w:tr>
      <w:tr>
        <w:tc>
          <w:tcPr>
            <w:tcW w:type="dxa" w:w="109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RF12</w:t>
            </w:r>
          </w:p>
        </w:tc>
        <w:tc>
          <w:tcPr>
            <w:tcW w:type="dxa" w:w="233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Exibir material</w:t>
            </w:r>
          </w:p>
        </w:tc>
        <w:tc>
          <w:tcPr>
            <w:tcW w:type="dxa" w:w="5633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Exibir o material em versão web acessível e em versão para impressão.</w:t>
            </w:r>
          </w:p>
        </w:tc>
      </w:tr>
      <w:tr>
        <w:tc>
          <w:tcPr>
            <w:tcW w:type="dxa" w:w="109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RF13</w:t>
            </w:r>
          </w:p>
        </w:tc>
        <w:tc>
          <w:tcPr>
            <w:tcW w:type="dxa" w:w="233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Registrar desfecho</w:t>
            </w:r>
          </w:p>
        </w:tc>
        <w:tc>
          <w:tcPr>
            <w:tcW w:type="dxa" w:w="5633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Permitir ao docente registrar o resultado da aplicação do material em sala.</w:t>
            </w:r>
          </w:p>
        </w:tc>
      </w:tr>
      <w:tr>
        <w:tc>
          <w:tcPr>
            <w:tcW w:type="dxa" w:w="109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RF14</w:t>
            </w:r>
          </w:p>
        </w:tc>
        <w:tc>
          <w:tcPr>
            <w:tcW w:type="dxa" w:w="233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Controlar acesso</w:t>
            </w:r>
          </w:p>
        </w:tc>
        <w:tc>
          <w:tcPr>
            <w:tcW w:type="dxa" w:w="5633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Restringir cada leitura e escrita ao papel do usuário e à informação acessada.</w:t>
            </w:r>
          </w:p>
        </w:tc>
      </w:tr>
      <w:tr>
        <w:tc>
          <w:tcPr>
            <w:tcW w:type="dxa" w:w="109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RF15</w:t>
            </w:r>
          </w:p>
        </w:tc>
        <w:tc>
          <w:tcPr>
            <w:tcW w:type="dxa" w:w="233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Exportar ou excluir dados</w:t>
            </w:r>
          </w:p>
        </w:tc>
        <w:tc>
          <w:tcPr>
            <w:tcW w:type="dxa" w:w="5633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Permitir ao responsável exportar os dados do estudante e solicitar sua exclusão.</w:t>
            </w:r>
          </w:p>
        </w:tc>
      </w:tr>
    </w:tbl>
    <w:p>
      <w:pPr>
        <w:spacing w:line="240" w:lineRule="auto" w:before="40" w:after="240"/>
        <w:jc w:val="left"/>
      </w:pPr>
      <w:r>
        <w:rPr>
          <w:rFonts w:ascii="Arial" w:hAnsi="Arial"/>
          <w:b w:val="0"/>
          <w:i/>
          <w:sz w:val="20"/>
        </w:rPr>
        <w:t>Fonte: PEI Vivo (2026).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  <w:highlight w:val="yellow"/>
        </w:rPr>
        <w:t>[CONFIRMAR COM O AVALIADOR: na parte de requisitos funcionais, o avaliador mencionou "Payday 2006" (transcrição). Confirmar o nome exato da obra e acrescentar a referência só depois de conferida.]</w:t>
      </w:r>
    </w:p>
    <w:p>
      <w:pPr>
        <w:keepNext/>
        <w:spacing w:line="360" w:lineRule="auto" w:before="240" w:after="60"/>
        <w:jc w:val="left"/>
      </w:pPr>
      <w:r>
        <w:rPr>
          <w:rFonts w:ascii="Arial" w:hAnsi="Arial"/>
          <w:b/>
          <w:i w:val="0"/>
          <w:sz w:val="24"/>
        </w:rPr>
        <w:t>3.2.2 Requisitos Não-Funcionais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Os requisitos não funcionais estabelecem atributos de qualidade e restrições de operação da aplicação, alinhados às características da ISO/IEC 25010. Para que possam ser verificados, são descritos em termos observáveis. O RNF05 foi revisto durante o desenvolvimento: guardar materiais no navegador para leitura sem conexão exporia dados de criança em aparelhos compartilhados, e por isso nenhum dado de estudante é armazenado no dispositivo. Conforme citado na Tabela 2:</w:t>
      </w:r>
    </w:p>
    <w:p>
      <w:pPr>
        <w:keepNext/>
        <w:spacing w:line="240" w:lineRule="auto" w:before="240" w:after="120"/>
        <w:jc w:val="center"/>
      </w:pPr>
      <w:r>
        <w:rPr>
          <w:rFonts w:ascii="Arial" w:hAnsi="Arial"/>
          <w:b/>
          <w:i w:val="0"/>
          <w:sz w:val="20"/>
        </w:rPr>
        <w:t>Tabela 2 – Requisitos Não-Funcionais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6"/>
        <w:gridCol w:w="2214"/>
        <w:gridCol w:w="5769"/>
      </w:tblGrid>
      <w:tr>
        <w:trPr>
          <w:tblHeader/>
        </w:trPr>
        <w:tc>
          <w:tcPr>
            <w:tcW w:type="dxa" w:w="1087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ID</w:t>
            </w:r>
          </w:p>
        </w:tc>
        <w:tc>
          <w:tcPr>
            <w:tcW w:type="dxa" w:w="2214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Requisito Não-Funcional</w:t>
            </w:r>
          </w:p>
        </w:tc>
        <w:tc>
          <w:tcPr>
            <w:tcW w:type="dxa" w:w="5770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Descrição</w:t>
            </w:r>
          </w:p>
        </w:tc>
      </w:tr>
      <w:tr>
        <w:tc>
          <w:tcPr>
            <w:tcW w:type="dxa" w:w="1087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RNF01</w:t>
            </w:r>
          </w:p>
        </w:tc>
        <w:tc>
          <w:tcPr>
            <w:tcW w:type="dxa" w:w="2214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Usabilidade</w:t>
            </w:r>
          </w:p>
        </w:tc>
        <w:tc>
          <w:tcPr>
            <w:tcW w:type="dxa" w:w="5770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 interface deve alcançar pontuação igual ou superior a 68 na escala SUS.</w:t>
            </w:r>
          </w:p>
        </w:tc>
      </w:tr>
      <w:tr>
        <w:tc>
          <w:tcPr>
            <w:tcW w:type="dxa" w:w="108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RNF02</w:t>
            </w:r>
          </w:p>
        </w:tc>
        <w:tc>
          <w:tcPr>
            <w:tcW w:type="dxa" w:w="2214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Desempenho</w:t>
            </w:r>
          </w:p>
        </w:tc>
        <w:tc>
          <w:tcPr>
            <w:tcW w:type="dxa" w:w="577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 geração de material adaptado deve ocorrer em menos de 60 segundos.</w:t>
            </w:r>
          </w:p>
        </w:tc>
      </w:tr>
      <w:tr>
        <w:tc>
          <w:tcPr>
            <w:tcW w:type="dxa" w:w="108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RNF03</w:t>
            </w:r>
          </w:p>
        </w:tc>
        <w:tc>
          <w:tcPr>
            <w:tcW w:type="dxa" w:w="2214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Acessibilidade</w:t>
            </w:r>
          </w:p>
        </w:tc>
        <w:tc>
          <w:tcPr>
            <w:tcW w:type="dxa" w:w="577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As telas devem atender às WCAG 2.2 nível AA e à ABNT NBR 17225.</w:t>
            </w:r>
          </w:p>
        </w:tc>
      </w:tr>
      <w:tr>
        <w:tc>
          <w:tcPr>
            <w:tcW w:type="dxa" w:w="108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RNF04</w:t>
            </w:r>
          </w:p>
        </w:tc>
        <w:tc>
          <w:tcPr>
            <w:tcW w:type="dxa" w:w="2214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Segurança</w:t>
            </w:r>
          </w:p>
        </w:tc>
        <w:tc>
          <w:tcPr>
            <w:tcW w:type="dxa" w:w="577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Permissões no banco (RLS), segundo fator para saúde e coordenação e TLS em trânsito.</w:t>
            </w:r>
          </w:p>
        </w:tc>
      </w:tr>
      <w:tr>
        <w:tc>
          <w:tcPr>
            <w:tcW w:type="dxa" w:w="108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RNF05</w:t>
            </w:r>
          </w:p>
        </w:tc>
        <w:tc>
          <w:tcPr>
            <w:tcW w:type="dxa" w:w="2214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Privacidade</w:t>
            </w:r>
          </w:p>
        </w:tc>
        <w:tc>
          <w:tcPr>
            <w:tcW w:type="dxa" w:w="577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Nenhum dado de estudante deve ser armazenado no navegador.</w:t>
            </w:r>
          </w:p>
        </w:tc>
      </w:tr>
      <w:tr>
        <w:tc>
          <w:tcPr>
            <w:tcW w:type="dxa" w:w="108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RNF06</w:t>
            </w:r>
          </w:p>
        </w:tc>
        <w:tc>
          <w:tcPr>
            <w:tcW w:type="dxa" w:w="2214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Portabilidade</w:t>
            </w:r>
          </w:p>
        </w:tc>
        <w:tc>
          <w:tcPr>
            <w:tcW w:type="dxa" w:w="577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 aplicação web deve ser responsiva e instalável pelo navegador em Android, iOS e desktop.</w:t>
            </w:r>
          </w:p>
        </w:tc>
      </w:tr>
      <w:tr>
        <w:tc>
          <w:tcPr>
            <w:tcW w:type="dxa" w:w="108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RNF07</w:t>
            </w:r>
          </w:p>
        </w:tc>
        <w:tc>
          <w:tcPr>
            <w:tcW w:type="dxa" w:w="2214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Manutenibilidade</w:t>
            </w:r>
          </w:p>
        </w:tc>
        <w:tc>
          <w:tcPr>
            <w:tcW w:type="dxa" w:w="577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 motor e as funções devem ter cobertura de testes automatizados igual ou superior a 70%.</w:t>
            </w:r>
          </w:p>
        </w:tc>
      </w:tr>
      <w:tr>
        <w:tc>
          <w:tcPr>
            <w:tcW w:type="dxa" w:w="108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RNF08</w:t>
            </w:r>
          </w:p>
        </w:tc>
        <w:tc>
          <w:tcPr>
            <w:tcW w:type="dxa" w:w="2214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Confiabilidade</w:t>
            </w:r>
          </w:p>
        </w:tc>
        <w:tc>
          <w:tcPr>
            <w:tcW w:type="dxa" w:w="577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 camada determinística deve operar sem depender de serviços externos.</w:t>
            </w:r>
          </w:p>
        </w:tc>
      </w:tr>
      <w:tr>
        <w:tc>
          <w:tcPr>
            <w:tcW w:type="dxa" w:w="108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RNF09</w:t>
            </w:r>
          </w:p>
        </w:tc>
        <w:tc>
          <w:tcPr>
            <w:tcW w:type="dxa" w:w="2214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Conformidade legal</w:t>
            </w:r>
          </w:p>
        </w:tc>
        <w:tc>
          <w:tcPr>
            <w:tcW w:type="dxa" w:w="577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 tratamento deve aderir à LGPD, com minimização de dados e consentimento granular.</w:t>
            </w:r>
          </w:p>
        </w:tc>
      </w:tr>
      <w:tr>
        <w:tc>
          <w:tcPr>
            <w:tcW w:type="dxa" w:w="108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RNF10</w:t>
            </w:r>
          </w:p>
        </w:tc>
        <w:tc>
          <w:tcPr>
            <w:tcW w:type="dxa" w:w="2214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Escalabilidade</w:t>
            </w:r>
          </w:p>
        </w:tc>
        <w:tc>
          <w:tcPr>
            <w:tcW w:type="dxa" w:w="577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 arquitetura serverless deve absorver picos de uso concentrado.</w:t>
            </w:r>
          </w:p>
        </w:tc>
      </w:tr>
    </w:tbl>
    <w:p>
      <w:pPr>
        <w:spacing w:line="240" w:lineRule="auto" w:before="40" w:after="240"/>
        <w:jc w:val="left"/>
      </w:pPr>
      <w:r>
        <w:rPr>
          <w:rFonts w:ascii="Arial" w:hAnsi="Arial"/>
          <w:b w:val="0"/>
          <w:i/>
          <w:sz w:val="20"/>
        </w:rPr>
        <w:t>Fonte: PEI Vivo (2026).</w:t>
      </w:r>
    </w:p>
    <w:p>
      <w:pPr>
        <w:keepNext/>
        <w:spacing w:line="360" w:lineRule="auto" w:before="240" w:after="60"/>
        <w:jc w:val="left"/>
      </w:pPr>
      <w:r>
        <w:rPr>
          <w:rFonts w:ascii="Arial" w:hAnsi="Arial"/>
          <w:b/>
          <w:i w:val="0"/>
          <w:sz w:val="24"/>
        </w:rPr>
        <w:t>3.2.3 Regras de Negócio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As regras de negócio definem as condições que orientam o funcionamento do PEI Vivo e a responsabilidade de cada perfil sobre as informações registradas, e independem da tecnologia adotada. A RN02 é uma decisão de projeto: a informação diagnóstica não altera a conduta pedagógica do docente e amplia o risco de rotulação, razão pela qual o sistema não armazena laudo nem diagnóstico, apenas a data em que um laudo foi apresentado à escola. A RN03 impõe assimetria deliberada, de modo que um eventual erro do sistema recaia sempre sobre o lado mais acessível do material. Conforme citado na Tabela 3:</w:t>
      </w:r>
    </w:p>
    <w:p>
      <w:pPr>
        <w:keepNext/>
        <w:spacing w:line="240" w:lineRule="auto" w:before="240" w:after="120"/>
        <w:jc w:val="center"/>
      </w:pPr>
      <w:r>
        <w:rPr>
          <w:rFonts w:ascii="Arial" w:hAnsi="Arial"/>
          <w:b/>
          <w:i w:val="0"/>
          <w:sz w:val="20"/>
        </w:rPr>
        <w:t>Tabela 3 – Regras de Negócio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7"/>
        <w:gridCol w:w="1791"/>
        <w:gridCol w:w="6231"/>
      </w:tblGrid>
      <w:tr>
        <w:trPr>
          <w:tblHeader/>
        </w:trPr>
        <w:tc>
          <w:tcPr>
            <w:tcW w:type="dxa" w:w="1048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ID</w:t>
            </w:r>
          </w:p>
        </w:tc>
        <w:tc>
          <w:tcPr>
            <w:tcW w:type="dxa" w:w="1791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Regra de Negócio</w:t>
            </w:r>
          </w:p>
        </w:tc>
        <w:tc>
          <w:tcPr>
            <w:tcW w:type="dxa" w:w="6232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Descrição</w:t>
            </w:r>
          </w:p>
        </w:tc>
      </w:tr>
      <w:tr>
        <w:tc>
          <w:tcPr>
            <w:tcW w:type="dxa" w:w="1048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RN01</w:t>
            </w:r>
          </w:p>
        </w:tc>
        <w:tc>
          <w:tcPr>
            <w:tcW w:type="dxa" w:w="1791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Consentimento ativo</w:t>
            </w:r>
          </w:p>
        </w:tc>
        <w:tc>
          <w:tcPr>
            <w:tcW w:type="dxa" w:w="6232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Sem consentimento ativo do responsável, nenhuma escrita nem geração ocorre para o estudante; a leitura fica restrita ao responsável e à coordenação.</w:t>
            </w:r>
          </w:p>
        </w:tc>
      </w:tr>
      <w:tr>
        <w:tc>
          <w:tcPr>
            <w:tcW w:type="dxa" w:w="1048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RN02</w:t>
            </w:r>
          </w:p>
        </w:tc>
        <w:tc>
          <w:tcPr>
            <w:tcW w:type="dxa" w:w="1791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Sigilo clínico</w:t>
            </w:r>
          </w:p>
        </w:tc>
        <w:tc>
          <w:tcPr>
            <w:tcW w:type="dxa" w:w="623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 docente nunca lê nota clínica, apenas observações e parâmetros; o sistema não armazena laudo nem diagnóstico.</w:t>
            </w:r>
          </w:p>
        </w:tc>
      </w:tr>
      <w:tr>
        <w:tc>
          <w:tcPr>
            <w:tcW w:type="dxa" w:w="1048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RN03</w:t>
            </w:r>
          </w:p>
        </w:tc>
        <w:tc>
          <w:tcPr>
            <w:tcW w:type="dxa" w:w="1791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Assimetria conservadora</w:t>
            </w:r>
          </w:p>
        </w:tc>
        <w:tc>
          <w:tcPr>
            <w:tcW w:type="dxa" w:w="623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Elevar um parâmetro exige dois ciclos consecutivos de observação "ampliada"; reduzi-lo é imediato.</w:t>
            </w:r>
          </w:p>
        </w:tc>
      </w:tr>
      <w:tr>
        <w:tc>
          <w:tcPr>
            <w:tcW w:type="dxa" w:w="1048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RN04</w:t>
            </w:r>
          </w:p>
        </w:tc>
        <w:tc>
          <w:tcPr>
            <w:tcW w:type="dxa" w:w="1791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Aprovação docente</w:t>
            </w:r>
          </w:p>
        </w:tc>
        <w:tc>
          <w:tcPr>
            <w:tcW w:type="dxa" w:w="623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Nenhum material chega ao estudante sem aprovação explícita do docente.</w:t>
            </w:r>
          </w:p>
        </w:tc>
      </w:tr>
      <w:tr>
        <w:tc>
          <w:tcPr>
            <w:tcW w:type="dxa" w:w="1048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RN05</w:t>
            </w:r>
          </w:p>
        </w:tc>
        <w:tc>
          <w:tcPr>
            <w:tcW w:type="dxa" w:w="1791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Expiração da validação</w:t>
            </w:r>
          </w:p>
        </w:tc>
        <w:tc>
          <w:tcPr>
            <w:tcW w:type="dxa" w:w="623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Sem validação em 7 dias, a proposta expira e permanece vigente a última versão aprovada, no máximo uma por estudante.</w:t>
            </w:r>
          </w:p>
        </w:tc>
      </w:tr>
      <w:tr>
        <w:tc>
          <w:tcPr>
            <w:tcW w:type="dxa" w:w="1048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RN06</w:t>
            </w:r>
          </w:p>
        </w:tc>
        <w:tc>
          <w:tcPr>
            <w:tcW w:type="dxa" w:w="1791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Modo sem profissional</w:t>
            </w:r>
          </w:p>
        </w:tc>
        <w:tc>
          <w:tcPr>
            <w:tcW w:type="dxa" w:w="623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Sem profissional de saúde vinculado, apenas a camada determinística opera, sem IA.</w:t>
            </w:r>
          </w:p>
        </w:tc>
      </w:tr>
      <w:tr>
        <w:tc>
          <w:tcPr>
            <w:tcW w:type="dxa" w:w="1048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RN07</w:t>
            </w:r>
          </w:p>
        </w:tc>
        <w:tc>
          <w:tcPr>
            <w:tcW w:type="dxa" w:w="1791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Validação por ciclo</w:t>
            </w:r>
          </w:p>
        </w:tc>
        <w:tc>
          <w:tcPr>
            <w:tcW w:type="dxa" w:w="623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 validação clínica incide sobre o conjunto de parâmetros do ciclo, nunca sobre material individual.</w:t>
            </w:r>
          </w:p>
        </w:tc>
      </w:tr>
      <w:tr>
        <w:tc>
          <w:tcPr>
            <w:tcW w:type="dxa" w:w="1048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RN08</w:t>
            </w:r>
          </w:p>
        </w:tc>
        <w:tc>
          <w:tcPr>
            <w:tcW w:type="dxa" w:w="1791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Revogação imediata</w:t>
            </w:r>
          </w:p>
        </w:tc>
        <w:tc>
          <w:tcPr>
            <w:tcW w:type="dxa" w:w="623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 responsável pode revogar o consentimento a qualquer momento, com bloqueio imediato de novas gerações.</w:t>
            </w:r>
          </w:p>
        </w:tc>
      </w:tr>
    </w:tbl>
    <w:p>
      <w:pPr>
        <w:spacing w:line="240" w:lineRule="auto" w:before="40" w:after="240"/>
        <w:jc w:val="left"/>
      </w:pPr>
      <w:r>
        <w:rPr>
          <w:rFonts w:ascii="Arial" w:hAnsi="Arial"/>
          <w:b w:val="0"/>
          <w:i/>
          <w:sz w:val="20"/>
        </w:rPr>
        <w:t>Fonte: PEI Vivo (2026).</w:t>
      </w:r>
    </w:p>
    <w:p>
      <w:pPr>
        <w:keepNext/>
        <w:spacing w:line="360" w:lineRule="auto" w:before="240" w:after="60"/>
        <w:jc w:val="left"/>
      </w:pPr>
      <w:r>
        <w:rPr>
          <w:rFonts w:ascii="Arial" w:hAnsi="Arial"/>
          <w:b/>
          <w:i w:val="0"/>
          <w:sz w:val="24"/>
        </w:rPr>
        <w:t>3.2.4 Diagrama de classes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As Figuras 1 a 3 representam o diagrama de classes do PEI Vivo, gerado a partir das migrações do banco, de modo que cada classe persistente corresponde a uma tabela. São 15 classes persistentes e 2 objetos de valor (ParametrosAdaptacao, com os seis parâmetros, e TextoAdaptado). Para que continue legível no papel, o diagrama foi dividido em três figuras por domínio: escola, pessoas e vínculos (Figura 1); estudante, consentimento, nota clínica e auditoria (Figura 2); e ciclo de observação, versão do perfil e material (Figura 3). Uma classe com borda tracejada é detalhada em outra figura; entre chaves estão as restrições garantidas pelo banco, como uma versão vigente por estudante e um consentimento ativo. A versão integral, em uma única imagem, está no repositório (docs/tcc/class_diagram.svg).</w:t>
      </w:r>
    </w:p>
    <w:p>
      <w:r>
        <w:br w:type="page"/>
      </w:r>
    </w:p>
    <w:p>
      <w:pPr>
        <w:keepNext/>
        <w:spacing w:line="240" w:lineRule="auto" w:before="240" w:after="120"/>
        <w:jc w:val="center"/>
      </w:pPr>
      <w:r>
        <w:rPr>
          <w:rFonts w:ascii="Arial" w:hAnsi="Arial"/>
          <w:b/>
          <w:i w:val="0"/>
          <w:sz w:val="20"/>
        </w:rPr>
        <w:t>Figura 1 – Diagrama de classes do PEI Vivo: escola, pessoas e vínculos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6649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-1-pessoas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49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40"/>
        <w:jc w:val="left"/>
      </w:pPr>
      <w:r>
        <w:rPr>
          <w:rFonts w:ascii="Arial" w:hAnsi="Arial"/>
          <w:b w:val="0"/>
          <w:i/>
          <w:sz w:val="20"/>
        </w:rPr>
        <w:t>Fonte: PEI Vivo (2026).</w:t>
      </w:r>
    </w:p>
    <w:p>
      <w:pPr>
        <w:keepNext/>
        <w:spacing w:line="240" w:lineRule="auto" w:before="240" w:after="120"/>
        <w:jc w:val="center"/>
      </w:pPr>
      <w:r>
        <w:rPr>
          <w:rFonts w:ascii="Arial" w:hAnsi="Arial"/>
          <w:b/>
          <w:i w:val="0"/>
          <w:sz w:val="20"/>
        </w:rPr>
        <w:t>Figura 2 – Diagrama de classes do PEI Vivo: estudante, consentimento, nota clínica e auditoria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59999" cy="575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-2-estudante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57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40"/>
        <w:jc w:val="left"/>
      </w:pPr>
      <w:r>
        <w:rPr>
          <w:rFonts w:ascii="Arial" w:hAnsi="Arial"/>
          <w:b w:val="0"/>
          <w:i/>
          <w:sz w:val="20"/>
        </w:rPr>
        <w:t>Fonte: PEI Vivo (2026).</w:t>
      </w:r>
    </w:p>
    <w:p>
      <w:r>
        <w:br w:type="page"/>
      </w:r>
    </w:p>
    <w:p>
      <w:pPr>
        <w:keepNext/>
        <w:spacing w:line="240" w:lineRule="auto" w:before="240" w:after="120"/>
        <w:jc w:val="center"/>
      </w:pPr>
      <w:r>
        <w:rPr>
          <w:rFonts w:ascii="Arial" w:hAnsi="Arial"/>
          <w:b/>
          <w:i w:val="0"/>
          <w:sz w:val="20"/>
        </w:rPr>
        <w:t>Figura 3 – Diagrama de classes do PEI Vivo: ciclo de observação, versão do perfil e material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456429" cy="80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-3-ciclo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429" cy="80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40"/>
        <w:jc w:val="left"/>
      </w:pPr>
      <w:r>
        <w:rPr>
          <w:rFonts w:ascii="Arial" w:hAnsi="Arial"/>
          <w:b w:val="0"/>
          <w:i/>
          <w:sz w:val="20"/>
        </w:rPr>
        <w:t>Fonte: PEI Vivo (2026).</w:t>
      </w:r>
    </w:p>
    <w:p>
      <w:pPr>
        <w:keepNext/>
        <w:spacing w:line="360" w:lineRule="auto" w:before="240" w:after="60"/>
        <w:jc w:val="left"/>
      </w:pPr>
      <w:r>
        <w:rPr>
          <w:rFonts w:ascii="Arial" w:hAnsi="Arial"/>
          <w:b/>
          <w:i w:val="0"/>
          <w:sz w:val="24"/>
        </w:rPr>
        <w:t>3.2.5 Diagrama de casos de uso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As Figuras 4 a 8 representam o diagrama de casos de uso do PEI Vivo, relacionando os atores (responsável legal, docente regente, profissional de saúde e coordenação pedagógica, além de um ator abstrato Usuário e do ator Tempo, que dispara diariamente a expiração das validações pendentes) às funcionalidades disponíveis conforme suas responsabilidades. São 28 casos de uso, dos quais 4 são subfluxos ligados por inclusão («include») ou extensão («extend»), como a aplicação condicional da camada de IA, que estende a geração de material. Para a leitura no papel, o diagrama foi dividido por perfil; a versão integral está no repositório (docs/tcc/usecase_diagram.svg).</w:t>
      </w:r>
    </w:p>
    <w:p>
      <w:pPr>
        <w:keepNext/>
        <w:spacing w:line="240" w:lineRule="auto" w:before="240" w:after="120"/>
        <w:jc w:val="center"/>
      </w:pPr>
      <w:r>
        <w:rPr>
          <w:rFonts w:ascii="Arial" w:hAnsi="Arial"/>
          <w:b/>
          <w:i w:val="0"/>
          <w:sz w:val="20"/>
        </w:rPr>
        <w:t>Figura 4 – Diagrama de casos de uso do PEI Vivo: casos comuns a todos os perfis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54600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-1-usuario.p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60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40"/>
        <w:jc w:val="left"/>
      </w:pPr>
      <w:r>
        <w:rPr>
          <w:rFonts w:ascii="Arial" w:hAnsi="Arial"/>
          <w:b w:val="0"/>
          <w:i/>
          <w:sz w:val="20"/>
        </w:rPr>
        <w:t>Fonte: PEI Vivo (2026).</w:t>
      </w:r>
    </w:p>
    <w:p>
      <w:pPr>
        <w:keepNext/>
        <w:spacing w:line="240" w:lineRule="auto" w:before="240" w:after="120"/>
        <w:jc w:val="center"/>
      </w:pPr>
      <w:r>
        <w:rPr>
          <w:rFonts w:ascii="Arial" w:hAnsi="Arial"/>
          <w:b/>
          <w:i w:val="0"/>
          <w:sz w:val="20"/>
        </w:rPr>
        <w:t>Figura 5 – Diagrama de casos de uso do PEI Vivo: responsável legal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44379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-2-responsavel.p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437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40"/>
        <w:jc w:val="left"/>
      </w:pPr>
      <w:r>
        <w:rPr>
          <w:rFonts w:ascii="Arial" w:hAnsi="Arial"/>
          <w:b w:val="0"/>
          <w:i/>
          <w:sz w:val="20"/>
        </w:rPr>
        <w:t>Fonte: PEI Vivo (2026).</w:t>
      </w:r>
    </w:p>
    <w:p>
      <w:pPr>
        <w:sectPr>
          <w:footerReference w:type="first" r:id="rId9"/>
          <w:pgSz w:w="11906" w:h="16838"/>
          <w:pgMar w:top="1701" w:right="1134" w:bottom="1134" w:left="1701" w:header="720" w:footer="720" w:gutter="0"/>
          <w:cols w:space="720"/>
          <w:titlePg/>
          <w:docGrid w:linePitch="360"/>
        </w:sectPr>
      </w:pPr>
    </w:p>
    <w:p>
      <w:pPr>
        <w:keepNext/>
        <w:spacing w:line="240" w:lineRule="auto" w:before="240" w:after="120"/>
        <w:jc w:val="center"/>
      </w:pPr>
      <w:r>
        <w:rPr>
          <w:rFonts w:ascii="Arial" w:hAnsi="Arial"/>
          <w:b/>
          <w:i w:val="0"/>
          <w:sz w:val="20"/>
        </w:rPr>
        <w:t>Figura 6 – Diagrama de casos de uso do PEI Vivo: docente regente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46135" cy="48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-3-docente.png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135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40"/>
        <w:jc w:val="left"/>
      </w:pPr>
      <w:r>
        <w:rPr>
          <w:rFonts w:ascii="Arial" w:hAnsi="Arial"/>
          <w:b w:val="0"/>
          <w:i/>
          <w:sz w:val="20"/>
        </w:rPr>
        <w:t>Fonte: PEI Vivo (2026).</w:t>
      </w:r>
    </w:p>
    <w:p>
      <w:pPr>
        <w:sectPr>
          <w:pgSz w:w="16838" w:h="11906" w:orient="landscape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keepNext/>
        <w:spacing w:line="240" w:lineRule="auto" w:before="240" w:after="120"/>
        <w:jc w:val="center"/>
      </w:pPr>
      <w:r>
        <w:rPr>
          <w:rFonts w:ascii="Arial" w:hAnsi="Arial"/>
          <w:b/>
          <w:i w:val="0"/>
          <w:sz w:val="20"/>
        </w:rPr>
        <w:t>Figura 7 – Diagrama de casos de uso do PEI Vivo: coordenação pedagógica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40585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-4-coordenacao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058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40"/>
        <w:jc w:val="left"/>
      </w:pPr>
      <w:r>
        <w:rPr>
          <w:rFonts w:ascii="Arial" w:hAnsi="Arial"/>
          <w:b w:val="0"/>
          <w:i/>
          <w:sz w:val="20"/>
        </w:rPr>
        <w:t>Fonte: PEI Vivo (2026).</w:t>
      </w:r>
    </w:p>
    <w:p>
      <w:pPr>
        <w:keepNext/>
        <w:spacing w:line="240" w:lineRule="auto" w:before="240" w:after="120"/>
        <w:jc w:val="center"/>
      </w:pPr>
      <w:r>
        <w:rPr>
          <w:rFonts w:ascii="Arial" w:hAnsi="Arial"/>
          <w:b/>
          <w:i w:val="0"/>
          <w:sz w:val="20"/>
        </w:rPr>
        <w:t>Figura 8 – Diagrama de casos de uso do PEI Vivo: profissional de saúde e expiração automática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43004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-5-saude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30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40"/>
        <w:jc w:val="left"/>
      </w:pPr>
      <w:r>
        <w:rPr>
          <w:rFonts w:ascii="Arial" w:hAnsi="Arial"/>
          <w:b w:val="0"/>
          <w:i/>
          <w:sz w:val="20"/>
        </w:rPr>
        <w:t>Fonte: PEI Vivo (2026).</w:t>
      </w:r>
    </w:p>
    <w:p>
      <w:pPr>
        <w:keepNext/>
        <w:spacing w:line="360" w:lineRule="auto" w:before="240" w:after="60"/>
        <w:jc w:val="left"/>
      </w:pPr>
      <w:r>
        <w:rPr>
          <w:rFonts w:ascii="Arial" w:hAnsi="Arial"/>
          <w:b/>
          <w:i w:val="0"/>
          <w:sz w:val="24"/>
        </w:rPr>
        <w:t>3.2.6 Diagrama de sequência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A Figura 9 representa o diagrama de sequência do PEI Vivo e demonstra a ordem das interações durante a geração e a aprovação de material adaptado. A Edge Function valida o texto recebido e solicita ao banco, com a identidade do docente, a verificação de vínculo, consentimento e versão vigente; se alguma condição falha, a requisição é negada (erro 403) ou recusada por conflito (erro 409). Quando a camada de IA é permitida, ela atua antes do motor determinístico. O rascunho é gravado por uma função do banco que confere novamente as condições, e a aprovação recusa o material caso a família tenha revogado o consentimento depois da geração, evidenciando a comunicação entre interface, lógica da aplicação e persistência dos dados.</w:t>
      </w:r>
    </w:p>
    <w:p>
      <w:r>
        <w:br w:type="page"/>
      </w:r>
    </w:p>
    <w:p>
      <w:pPr>
        <w:keepNext/>
        <w:spacing w:line="240" w:lineRule="auto" w:before="240" w:after="120"/>
        <w:jc w:val="center"/>
      </w:pPr>
      <w:r>
        <w:rPr>
          <w:rFonts w:ascii="Arial" w:hAnsi="Arial"/>
          <w:b/>
          <w:i w:val="0"/>
          <w:sz w:val="20"/>
        </w:rPr>
        <w:t>Figura 9 – Diagrama de sequência do PEI Vivo: geração e aprovação de material adaptado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58197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.png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19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40"/>
        <w:jc w:val="left"/>
      </w:pPr>
      <w:r>
        <w:rPr>
          <w:rFonts w:ascii="Arial" w:hAnsi="Arial"/>
          <w:b w:val="0"/>
          <w:i/>
          <w:sz w:val="20"/>
        </w:rPr>
        <w:t>Fonte: PEI Vivo (2026).</w:t>
      </w:r>
    </w:p>
    <w:p>
      <w:pPr>
        <w:keepNext/>
        <w:spacing w:line="360" w:lineRule="auto" w:before="240" w:after="60"/>
        <w:jc w:val="left"/>
      </w:pPr>
      <w:r>
        <w:rPr>
          <w:rFonts w:ascii="Arial" w:hAnsi="Arial"/>
          <w:b/>
          <w:i w:val="0"/>
          <w:sz w:val="24"/>
        </w:rPr>
        <w:t>3.2.7 Cronograma de atividades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desenvolvimento do PEI Vivo foi organizado em etapas sequenciais entre agosto e dezembro de 2026, elaboradas em sala de aula com a orientação da professora responsável. A ordem segue a dependência técnica do projeto: o núcleo de dados e as políticas de acesso precedem o motor de adaptação, e a redação do texto corre em paralelo ao desenvolvimento. O período de 8 a 15 de dezembro fica reservado a imprevistos e à defesa. A síntese do cronograma é apresentada no Quadro 2.</w:t>
      </w:r>
    </w:p>
    <w:p>
      <w:pPr>
        <w:keepNext/>
        <w:spacing w:line="240" w:lineRule="auto" w:before="240" w:after="120"/>
        <w:jc w:val="center"/>
      </w:pPr>
      <w:r>
        <w:rPr>
          <w:rFonts w:ascii="Arial" w:hAnsi="Arial"/>
          <w:b/>
          <w:i w:val="0"/>
          <w:sz w:val="20"/>
        </w:rPr>
        <w:t>Quadro 2 – Síntese do cronograma de desenvolvimento do PEI Vivo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7"/>
        <w:gridCol w:w="1631"/>
        <w:gridCol w:w="5151"/>
      </w:tblGrid>
      <w:tr>
        <w:trPr>
          <w:tblHeader/>
        </w:trPr>
        <w:tc>
          <w:tcPr>
            <w:tcW w:type="dxa" w:w="2288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Etapa</w:t>
            </w:r>
          </w:p>
        </w:tc>
        <w:tc>
          <w:tcPr>
            <w:tcW w:type="dxa" w:w="1632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Período</w:t>
            </w:r>
          </w:p>
        </w:tc>
        <w:tc>
          <w:tcPr>
            <w:tcW w:type="dxa" w:w="5152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Atividades previstas</w:t>
            </w:r>
          </w:p>
        </w:tc>
      </w:tr>
      <w:tr>
        <w:tc>
          <w:tcPr>
            <w:tcW w:type="dxa" w:w="2288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Fundamentação e linha de base</w:t>
            </w:r>
          </w:p>
        </w:tc>
        <w:tc>
          <w:tcPr>
            <w:tcW w:type="dxa" w:w="1632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24/08 a 06/09/2026</w:t>
            </w:r>
          </w:p>
        </w:tc>
        <w:tc>
          <w:tcPr>
            <w:tcW w:type="dxa" w:w="5152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Roteiro de entrevistas e revisão da contextualização.</w:t>
            </w:r>
          </w:p>
        </w:tc>
      </w:tr>
      <w:tr>
        <w:tc>
          <w:tcPr>
            <w:tcW w:type="dxa" w:w="2288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Modelagem</w:t>
            </w:r>
          </w:p>
        </w:tc>
        <w:tc>
          <w:tcPr>
            <w:tcW w:type="dxa" w:w="163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07/09 a 20/09/2026</w:t>
            </w:r>
          </w:p>
        </w:tc>
        <w:tc>
          <w:tcPr>
            <w:tcW w:type="dxa" w:w="515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Modelo de dados, matriz de permissões, diagramas UML e protótipo de interface.</w:t>
            </w:r>
          </w:p>
        </w:tc>
      </w:tr>
      <w:tr>
        <w:tc>
          <w:tcPr>
            <w:tcW w:type="dxa" w:w="2288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Back-end e segurança</w:t>
            </w:r>
          </w:p>
        </w:tc>
        <w:tc>
          <w:tcPr>
            <w:tcW w:type="dxa" w:w="163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21/09 a 04/10/2026</w:t>
            </w:r>
          </w:p>
        </w:tc>
        <w:tc>
          <w:tcPr>
            <w:tcW w:type="dxa" w:w="515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Supabase, esquema PostgreSQL, autenticação e políticas RLS.</w:t>
            </w:r>
          </w:p>
        </w:tc>
      </w:tr>
      <w:tr>
        <w:tc>
          <w:tcPr>
            <w:tcW w:type="dxa" w:w="2288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Front-end</w:t>
            </w:r>
          </w:p>
        </w:tc>
        <w:tc>
          <w:tcPr>
            <w:tcW w:type="dxa" w:w="163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05/10 a 18/10/2026</w:t>
            </w:r>
          </w:p>
        </w:tc>
        <w:tc>
          <w:tcPr>
            <w:tcW w:type="dxa" w:w="515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Telas dos perfis, fluxo de consentimento e primeira auditoria de acessibilidade.</w:t>
            </w:r>
          </w:p>
        </w:tc>
      </w:tr>
      <w:tr>
        <w:tc>
          <w:tcPr>
            <w:tcW w:type="dxa" w:w="2288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Motor de adaptação</w:t>
            </w:r>
          </w:p>
        </w:tc>
        <w:tc>
          <w:tcPr>
            <w:tcW w:type="dxa" w:w="163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19/10 a 01/11/2026</w:t>
            </w:r>
          </w:p>
        </w:tc>
        <w:tc>
          <w:tcPr>
            <w:tcW w:type="dxa" w:w="515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Camada determinística, Edge Function e camada assistida por IA.</w:t>
            </w:r>
          </w:p>
        </w:tc>
      </w:tr>
      <w:tr>
        <w:tc>
          <w:tcPr>
            <w:tcW w:type="dxa" w:w="2288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Integração e testes</w:t>
            </w:r>
          </w:p>
        </w:tc>
        <w:tc>
          <w:tcPr>
            <w:tcW w:type="dxa" w:w="163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02/11 a 15/11/2026</w:t>
            </w:r>
          </w:p>
        </w:tc>
        <w:tc>
          <w:tcPr>
            <w:tcW w:type="dxa" w:w="515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Testes unitários, de ponta a ponta, de violação de RLS e com leitor de tela.</w:t>
            </w:r>
          </w:p>
        </w:tc>
      </w:tr>
      <w:tr>
        <w:tc>
          <w:tcPr>
            <w:tcW w:type="dxa" w:w="2288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Validação com usuários</w:t>
            </w:r>
          </w:p>
        </w:tc>
        <w:tc>
          <w:tcPr>
            <w:tcW w:type="dxa" w:w="163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16/11 a 22/11/2026</w:t>
            </w:r>
          </w:p>
        </w:tc>
        <w:tc>
          <w:tcPr>
            <w:tcW w:type="dxa" w:w="515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Escala SUS, índice de legibilidade e pesquisa de aceitação.</w:t>
            </w:r>
          </w:p>
        </w:tc>
      </w:tr>
      <w:tr>
        <w:tc>
          <w:tcPr>
            <w:tcW w:type="dxa" w:w="2288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Consolidação</w:t>
            </w:r>
          </w:p>
        </w:tc>
        <w:tc>
          <w:tcPr>
            <w:tcW w:type="dxa" w:w="163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23/11 a 29/11/2026</w:t>
            </w:r>
          </w:p>
        </w:tc>
        <w:tc>
          <w:tcPr>
            <w:tcW w:type="dxa" w:w="515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Ajustes a partir do retorno dos usuários e relatório de validação.</w:t>
            </w:r>
          </w:p>
        </w:tc>
      </w:tr>
      <w:tr>
        <w:tc>
          <w:tcPr>
            <w:tcW w:type="dxa" w:w="2288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Versão final e entrega</w:t>
            </w:r>
          </w:p>
        </w:tc>
        <w:tc>
          <w:tcPr>
            <w:tcW w:type="dxa" w:w="163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30/11 a 06/12/2026</w:t>
            </w:r>
          </w:p>
        </w:tc>
        <w:tc>
          <w:tcPr>
            <w:tcW w:type="dxa" w:w="515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Implantação final, repositório documentado e preparação da defesa.</w:t>
            </w:r>
          </w:p>
        </w:tc>
      </w:tr>
    </w:tbl>
    <w:p>
      <w:pPr>
        <w:spacing w:line="240" w:lineRule="auto" w:before="40" w:after="240"/>
        <w:jc w:val="left"/>
      </w:pPr>
      <w:r>
        <w:rPr>
          <w:rFonts w:ascii="Arial" w:hAnsi="Arial"/>
          <w:b w:val="0"/>
          <w:i/>
          <w:sz w:val="20"/>
        </w:rPr>
        <w:t>Fonte: PEI Vivo (2026).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Na execução, até 13/10/2026, as cinco primeiras etapas foram concluídas, com o motor de adaptação e o protótipo antecipados e a etapa de back-end reforçada pela reformulação de outubro. Três itens mudaram por decisão de projeto: o protótipo foi feito diretamente em código, a aplicação não guarda dados no navegador para uso sem conexão e a camada de IA está implementada, mas desligada. A verificação com leitor de tela está pendente.</w:t>
      </w:r>
    </w:p>
    <w:p>
      <w:pPr>
        <w:keepNext/>
        <w:spacing w:line="360" w:lineRule="auto" w:before="240" w:after="60"/>
        <w:jc w:val="left"/>
      </w:pPr>
      <w:r>
        <w:rPr>
          <w:rFonts w:ascii="Arial" w:hAnsi="Arial"/>
          <w:b/>
          <w:i w:val="0"/>
          <w:sz w:val="24"/>
        </w:rPr>
        <w:t>3.3 Linguagens e tecnologias utilizadas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O sistema PEI Vivo foi desenvolvido como uma aplicação web estruturada em três camadas (interface, servidor e banco de dados), integralmente escritas em TypeScript e organizadas em um repositório único com cinco pacotes: a interface, o motor de adaptação, os contratos de dados, os casos de uso das Edge Functions e a suíte de testes de políticas de acesso. No front-end, foram utilizados React e Vite, com design responsivo e a fonte Atkinson Hyperlegible Next, hospedada na própria aplicação. No back-end, foram utilizadas três Edge Functions do Supabase (gerar-material, fechar-ciclo e convidar), as únicas autorizadas a criar materiais e versões de perfil, que mantêm fora do navegador as credenciais de serviço.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Os contratos de entrada são validados com a biblioteca Zod, compartilhada entre interface e servidor, em modo estrito: um campo inesperado, como um identificador de docente enviado pelo navegador, faz a requisição ser recusada. Na interface, toda chamada passa por uma única camada de serviços, que traduz os códigos de erro do banco (acesso negado, conflito e dado inválido) em mensagens em linguagem simples; essa camada tem uma implementação simulada, usada no protótipo e nos testes, e uma implementação real sobre o Supabase, sem que nenhuma tela mude. As integrações do sistema estão no Quadro 3.</w:t>
      </w:r>
    </w:p>
    <w:p>
      <w:pPr>
        <w:keepNext/>
        <w:spacing w:line="240" w:lineRule="auto" w:before="240" w:after="120"/>
        <w:jc w:val="center"/>
      </w:pPr>
      <w:r>
        <w:rPr>
          <w:rFonts w:ascii="Arial" w:hAnsi="Arial"/>
          <w:b/>
          <w:i w:val="0"/>
          <w:sz w:val="20"/>
        </w:rPr>
        <w:t>Quadro 3 – Integrações do sistema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2149"/>
        <w:gridCol w:w="2332"/>
        <w:gridCol w:w="3029"/>
      </w:tblGrid>
      <w:tr>
        <w:trPr>
          <w:tblHeader/>
        </w:trPr>
        <w:tc>
          <w:tcPr>
            <w:tcW w:type="dxa" w:w="1559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Integração</w:t>
            </w:r>
          </w:p>
        </w:tc>
        <w:tc>
          <w:tcPr>
            <w:tcW w:type="dxa" w:w="2150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Finalidade</w:t>
            </w:r>
          </w:p>
        </w:tc>
        <w:tc>
          <w:tcPr>
            <w:tcW w:type="dxa" w:w="2332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Autenticação</w:t>
            </w:r>
          </w:p>
        </w:tc>
        <w:tc>
          <w:tcPr>
            <w:tcW w:type="dxa" w:w="3030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Tratamento de falhas</w:t>
            </w:r>
          </w:p>
        </w:tc>
      </w:tr>
      <w:tr>
        <w:tc>
          <w:tcPr>
            <w:tcW w:type="dxa" w:w="1559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Supabase Auth</w:t>
            </w:r>
          </w:p>
        </w:tc>
        <w:tc>
          <w:tcPr>
            <w:tcW w:type="dxa" w:w="2150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Login com senha, segundo fator TOTP e convite por e-mail</w:t>
            </w:r>
          </w:p>
        </w:tc>
        <w:tc>
          <w:tcPr>
            <w:tcW w:type="dxa" w:w="2332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Senha e TOTP; convite com chave de serviço só na Edge Function</w:t>
            </w:r>
          </w:p>
        </w:tc>
        <w:tc>
          <w:tcPr>
            <w:tcW w:type="dxa" w:w="3030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Mensagem genérica de credencial inválida; convite repetido não reenvia e-mail</w:t>
            </w:r>
          </w:p>
        </w:tc>
      </w:tr>
      <w:tr>
        <w:tc>
          <w:tcPr>
            <w:tcW w:type="dxa" w:w="155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PostgREST (API do banco)</w:t>
            </w:r>
          </w:p>
        </w:tc>
        <w:tc>
          <w:tcPr>
            <w:tcW w:type="dxa" w:w="215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Leituras e escritas simples sob RLS</w:t>
            </w:r>
          </w:p>
        </w:tc>
        <w:tc>
          <w:tcPr>
            <w:tcW w:type="dxa" w:w="233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Token do usuário</w:t>
            </w:r>
          </w:p>
        </w:tc>
        <w:tc>
          <w:tcPr>
            <w:tcW w:type="dxa" w:w="303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Código do banco traduzido para mensagem simples</w:t>
            </w:r>
          </w:p>
        </w:tc>
      </w:tr>
      <w:tr>
        <w:tc>
          <w:tcPr>
            <w:tcW w:type="dxa" w:w="155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Edge Functions</w:t>
            </w:r>
          </w:p>
        </w:tc>
        <w:tc>
          <w:tcPr>
            <w:tcW w:type="dxa" w:w="215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Operações que exigem credencial de serviço</w:t>
            </w:r>
          </w:p>
        </w:tc>
        <w:tc>
          <w:tcPr>
            <w:tcW w:type="dxa" w:w="233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Token do usuário verificado pelo gateway e pelo banco</w:t>
            </w:r>
          </w:p>
        </w:tc>
        <w:tc>
          <w:tcPr>
            <w:tcW w:type="dxa" w:w="303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Erro padronizado, sem detalhe interno; tempo limite de 10 s</w:t>
            </w:r>
          </w:p>
        </w:tc>
      </w:tr>
      <w:tr>
        <w:tc>
          <w:tcPr>
            <w:tcW w:type="dxa" w:w="155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pg_cron</w:t>
            </w:r>
          </w:p>
        </w:tc>
        <w:tc>
          <w:tcPr>
            <w:tcW w:type="dxa" w:w="215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Expiração diária das validações pendentes (RN05)</w:t>
            </w:r>
          </w:p>
        </w:tc>
        <w:tc>
          <w:tcPr>
            <w:tcW w:type="dxa" w:w="233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Executa no próprio banco</w:t>
            </w:r>
          </w:p>
        </w:tc>
        <w:tc>
          <w:tcPr>
            <w:tcW w:type="dxa" w:w="303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Rotina idempotente</w:t>
            </w:r>
          </w:p>
        </w:tc>
      </w:tr>
      <w:tr>
        <w:tc>
          <w:tcPr>
            <w:tcW w:type="dxa" w:w="155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Provedor de IA</w:t>
            </w:r>
          </w:p>
        </w:tc>
        <w:tc>
          <w:tcPr>
            <w:tcW w:type="dxa" w:w="215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Camada opcional de simplificação lexical (RF10)</w:t>
            </w:r>
          </w:p>
        </w:tc>
        <w:tc>
          <w:tcPr>
            <w:tcW w:type="dxa" w:w="233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Chave de serviço, se ligada</w:t>
            </w:r>
          </w:p>
        </w:tc>
        <w:tc>
          <w:tcPr>
            <w:tcW w:type="dxa" w:w="303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Desligada por padrão; falha ou demora acima de 30 s resultam no material só por regras</w:t>
            </w:r>
          </w:p>
        </w:tc>
      </w:tr>
      <w:tr>
        <w:tc>
          <w:tcPr>
            <w:tcW w:type="dxa" w:w="1559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Vercel e GitHub Actions</w:t>
            </w:r>
          </w:p>
        </w:tc>
        <w:tc>
          <w:tcPr>
            <w:tcW w:type="dxa" w:w="215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Publicação da interface e integração contínua</w:t>
            </w:r>
          </w:p>
        </w:tc>
        <w:tc>
          <w:tcPr>
            <w:tcW w:type="dxa" w:w="233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Repositório e segredos da plataforma</w:t>
            </w:r>
          </w:p>
        </w:tc>
        <w:tc>
          <w:tcPr>
            <w:tcW w:type="dxa" w:w="3030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Publicação só a partir da branch principal protegida</w:t>
            </w:r>
          </w:p>
        </w:tc>
      </w:tr>
    </w:tbl>
    <w:p>
      <w:pPr>
        <w:spacing w:line="240" w:lineRule="auto" w:before="40" w:after="240"/>
        <w:jc w:val="left"/>
      </w:pPr>
      <w:r>
        <w:rPr>
          <w:rFonts w:ascii="Arial" w:hAnsi="Arial"/>
          <w:b w:val="0"/>
          <w:i/>
          <w:sz w:val="20"/>
        </w:rPr>
        <w:t>Fonte: PEI Vivo (2026).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Na etapa de modelagem, foi utilizada a UML (Unified Modeling Language), por meio dos diagramas de casos de uso, classes e sequência, gerados a partir do próprio código. As ferramentas de verificação são o Vitest, para os testes unitários e de integração; o Playwright, para os fluxos ponta a ponta em navegador; o PGlite, um PostgreSQL executado em processo que permite testar migrações e políticas sem servidor de banco; e o axe-core, para a auditoria automática de acessibilidade.</w:t>
      </w:r>
    </w:p>
    <w:p>
      <w:pPr>
        <w:keepNext/>
        <w:spacing w:line="360" w:lineRule="auto" w:before="240" w:after="60"/>
        <w:jc w:val="left"/>
      </w:pPr>
      <w:r>
        <w:rPr>
          <w:rFonts w:ascii="Arial" w:hAnsi="Arial"/>
          <w:b/>
          <w:i w:val="0"/>
          <w:sz w:val="24"/>
        </w:rPr>
        <w:t>3.4 Base de dados e protótipo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Inicialmente, foi realizado o levantamento do processo de acompanhamento do estudante e das necessidades dos perfis envolvidos, buscando identificar quais informações precisavam ser registradas, validadas e protegidas. A partir desse levantamento, foram definidos os requisitos funcionais, não funcionais e as regras de negócio, e a matriz de permissões resumida no Quadro 4.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Em seguida, o banco PostgreSQL foi implementado em onze migrações sequenciais, com 15 tabelas, 17 tipos enumerados, RLS habilitado em todas as tabelas e 26 funções do banco que concentram as escritas sensíveis. Todas as chaves primárias são do tipo UUID, toda chave estrangeira tem índice, e restrições do próprio banco garantem as regras de unicidade, como no máximo uma versão vigente e um consentimento ativo por estudante. Nenhuma política concede acesso total a uma tabela: vínculos, consentimentos, versões de perfil, materiais e notas clínicas só são escritos por funções que verificam papel, consentimento e segundo fator quando exigido, e que registram cada operação relevante em uma tabela de auditoria que não admite alteração nem exclusão.</w:t>
      </w:r>
    </w:p>
    <w:p>
      <w:pPr>
        <w:keepNext/>
        <w:spacing w:line="240" w:lineRule="auto" w:before="240" w:after="120"/>
        <w:jc w:val="center"/>
      </w:pPr>
      <w:r>
        <w:rPr>
          <w:rFonts w:ascii="Arial" w:hAnsi="Arial"/>
          <w:b/>
          <w:i w:val="0"/>
          <w:sz w:val="20"/>
        </w:rPr>
        <w:t>Quadro 4 – Matriz de permissões por perfil de usuário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1"/>
        <w:gridCol w:w="1830"/>
        <w:gridCol w:w="1455"/>
        <w:gridCol w:w="2064"/>
        <w:gridCol w:w="1917"/>
      </w:tblGrid>
      <w:tr>
        <w:trPr>
          <w:tblHeader/>
        </w:trPr>
        <w:tc>
          <w:tcPr>
            <w:tcW w:type="dxa" w:w="1802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Informação</w:t>
            </w:r>
          </w:p>
        </w:tc>
        <w:tc>
          <w:tcPr>
            <w:tcW w:type="dxa" w:w="1831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Responsável</w:t>
            </w:r>
          </w:p>
        </w:tc>
        <w:tc>
          <w:tcPr>
            <w:tcW w:type="dxa" w:w="1456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Docente</w:t>
            </w:r>
          </w:p>
        </w:tc>
        <w:tc>
          <w:tcPr>
            <w:tcW w:type="dxa" w:w="2065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Prof. de saúde</w:t>
            </w:r>
          </w:p>
        </w:tc>
        <w:tc>
          <w:tcPr>
            <w:tcW w:type="dxa" w:w="1917"/>
            <w:shd w:val="clear" w:fill="D9EAF7"/>
          </w:tcPr>
          <w:p>
            <w:pPr>
              <w:keepNext/>
              <w:spacing w:line="240" w:lineRule="auto" w:before="0" w:after="0"/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Coordenação</w:t>
            </w:r>
          </w:p>
        </w:tc>
      </w:tr>
      <w:tr>
        <w:tc>
          <w:tcPr>
            <w:tcW w:type="dxa" w:w="1802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Laudo ou diagnóstico</w:t>
            </w:r>
          </w:p>
        </w:tc>
        <w:tc>
          <w:tcPr>
            <w:tcW w:type="dxa" w:w="1831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Não armazenado</w:t>
            </w:r>
          </w:p>
        </w:tc>
        <w:tc>
          <w:tcPr>
            <w:tcW w:type="dxa" w:w="1456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Não armazenado</w:t>
            </w:r>
          </w:p>
        </w:tc>
        <w:tc>
          <w:tcPr>
            <w:tcW w:type="dxa" w:w="2065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Não armazenado</w:t>
            </w:r>
          </w:p>
        </w:tc>
        <w:tc>
          <w:tcPr>
            <w:tcW w:type="dxa" w:w="1917"/>
          </w:tcPr>
          <w:p>
            <w:pPr>
              <w:keepNext/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Não armazenado</w:t>
            </w:r>
          </w:p>
        </w:tc>
      </w:tr>
      <w:tr>
        <w:tc>
          <w:tcPr>
            <w:tcW w:type="dxa" w:w="180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Data de apresentação do laudo</w:t>
            </w:r>
          </w:p>
        </w:tc>
        <w:tc>
          <w:tcPr>
            <w:tcW w:type="dxa" w:w="1831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</w:t>
            </w:r>
          </w:p>
        </w:tc>
        <w:tc>
          <w:tcPr>
            <w:tcW w:type="dxa" w:w="1456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Sem acesso</w:t>
            </w:r>
          </w:p>
        </w:tc>
        <w:tc>
          <w:tcPr>
            <w:tcW w:type="dxa" w:w="2065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</w:t>
            </w:r>
          </w:p>
        </w:tc>
        <w:tc>
          <w:tcPr>
            <w:tcW w:type="dxa" w:w="191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 e escrita</w:t>
            </w:r>
          </w:p>
        </w:tc>
      </w:tr>
      <w:tr>
        <w:tc>
          <w:tcPr>
            <w:tcW w:type="dxa" w:w="180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Consentimento</w:t>
            </w:r>
          </w:p>
        </w:tc>
        <w:tc>
          <w:tcPr>
            <w:tcW w:type="dxa" w:w="1831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Concede e revoga</w:t>
            </w:r>
          </w:p>
        </w:tc>
        <w:tc>
          <w:tcPr>
            <w:tcW w:type="dxa" w:w="1456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Vê se está ativo</w:t>
            </w:r>
          </w:p>
        </w:tc>
        <w:tc>
          <w:tcPr>
            <w:tcW w:type="dxa" w:w="2065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Vê se está ativo</w:t>
            </w:r>
          </w:p>
        </w:tc>
        <w:tc>
          <w:tcPr>
            <w:tcW w:type="dxa" w:w="191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Vê se está ativo</w:t>
            </w:r>
          </w:p>
        </w:tc>
      </w:tr>
      <w:tr>
        <w:tc>
          <w:tcPr>
            <w:tcW w:type="dxa" w:w="180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Observações do ciclo</w:t>
            </w:r>
          </w:p>
        </w:tc>
        <w:tc>
          <w:tcPr>
            <w:tcW w:type="dxa" w:w="1831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 e escrita própria</w:t>
            </w:r>
          </w:p>
        </w:tc>
        <w:tc>
          <w:tcPr>
            <w:tcW w:type="dxa" w:w="1456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 e escrita própria</w:t>
            </w:r>
          </w:p>
        </w:tc>
        <w:tc>
          <w:tcPr>
            <w:tcW w:type="dxa" w:w="2065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 e escrita própria</w:t>
            </w:r>
          </w:p>
        </w:tc>
        <w:tc>
          <w:tcPr>
            <w:tcW w:type="dxa" w:w="191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 no histórico</w:t>
            </w:r>
          </w:p>
        </w:tc>
      </w:tr>
      <w:tr>
        <w:tc>
          <w:tcPr>
            <w:tcW w:type="dxa" w:w="180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Parâmetros do perfil</w:t>
            </w:r>
          </w:p>
        </w:tc>
        <w:tc>
          <w:tcPr>
            <w:tcW w:type="dxa" w:w="1831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</w:t>
            </w:r>
          </w:p>
        </w:tc>
        <w:tc>
          <w:tcPr>
            <w:tcW w:type="dxa" w:w="1456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</w:t>
            </w:r>
          </w:p>
        </w:tc>
        <w:tc>
          <w:tcPr>
            <w:tcW w:type="dxa" w:w="2065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 e validação</w:t>
            </w:r>
          </w:p>
        </w:tc>
        <w:tc>
          <w:tcPr>
            <w:tcW w:type="dxa" w:w="191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</w:t>
            </w:r>
          </w:p>
        </w:tc>
      </w:tr>
      <w:tr>
        <w:tc>
          <w:tcPr>
            <w:tcW w:type="dxa" w:w="180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Nota clínica reservada</w:t>
            </w:r>
          </w:p>
        </w:tc>
        <w:tc>
          <w:tcPr>
            <w:tcW w:type="dxa" w:w="1831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Sem acesso</w:t>
            </w:r>
          </w:p>
        </w:tc>
        <w:tc>
          <w:tcPr>
            <w:tcW w:type="dxa" w:w="1456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Sem acesso</w:t>
            </w:r>
          </w:p>
        </w:tc>
        <w:tc>
          <w:tcPr>
            <w:tcW w:type="dxa" w:w="2065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 e escrita (segundo fator, auditada)</w:t>
            </w:r>
          </w:p>
        </w:tc>
        <w:tc>
          <w:tcPr>
            <w:tcW w:type="dxa" w:w="191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Sem acesso</w:t>
            </w:r>
          </w:p>
        </w:tc>
      </w:tr>
      <w:tr>
        <w:tc>
          <w:tcPr>
            <w:tcW w:type="dxa" w:w="180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Material em rascunho</w:t>
            </w:r>
          </w:p>
        </w:tc>
        <w:tc>
          <w:tcPr>
            <w:tcW w:type="dxa" w:w="1831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Sem acesso</w:t>
            </w:r>
          </w:p>
        </w:tc>
        <w:tc>
          <w:tcPr>
            <w:tcW w:type="dxa" w:w="1456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Só o autor</w:t>
            </w:r>
          </w:p>
        </w:tc>
        <w:tc>
          <w:tcPr>
            <w:tcW w:type="dxa" w:w="2065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Sem acesso</w:t>
            </w:r>
          </w:p>
        </w:tc>
        <w:tc>
          <w:tcPr>
            <w:tcW w:type="dxa" w:w="191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Sem acesso</w:t>
            </w:r>
          </w:p>
        </w:tc>
      </w:tr>
      <w:tr>
        <w:tc>
          <w:tcPr>
            <w:tcW w:type="dxa" w:w="180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Material aprovado e desfecho</w:t>
            </w:r>
          </w:p>
        </w:tc>
        <w:tc>
          <w:tcPr>
            <w:tcW w:type="dxa" w:w="1831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</w:t>
            </w:r>
          </w:p>
        </w:tc>
        <w:tc>
          <w:tcPr>
            <w:tcW w:type="dxa" w:w="1456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 e escrita (autor)</w:t>
            </w:r>
          </w:p>
        </w:tc>
        <w:tc>
          <w:tcPr>
            <w:tcW w:type="dxa" w:w="2065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</w:t>
            </w:r>
          </w:p>
        </w:tc>
        <w:tc>
          <w:tcPr>
            <w:tcW w:type="dxa" w:w="191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</w:t>
            </w:r>
          </w:p>
        </w:tc>
      </w:tr>
      <w:tr>
        <w:tc>
          <w:tcPr>
            <w:tcW w:type="dxa" w:w="180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Gerar material</w:t>
            </w:r>
          </w:p>
        </w:tc>
        <w:tc>
          <w:tcPr>
            <w:tcW w:type="dxa" w:w="1831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456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065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91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Não</w:t>
            </w:r>
          </w:p>
        </w:tc>
      </w:tr>
      <w:tr>
        <w:tc>
          <w:tcPr>
            <w:tcW w:type="dxa" w:w="180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Vínculos</w:t>
            </w:r>
          </w:p>
        </w:tc>
        <w:tc>
          <w:tcPr>
            <w:tcW w:type="dxa" w:w="1831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 e confirmação do profissional</w:t>
            </w:r>
          </w:p>
        </w:tc>
        <w:tc>
          <w:tcPr>
            <w:tcW w:type="dxa" w:w="1456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 própria</w:t>
            </w:r>
          </w:p>
        </w:tc>
        <w:tc>
          <w:tcPr>
            <w:tcW w:type="dxa" w:w="2065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 própria</w:t>
            </w:r>
          </w:p>
        </w:tc>
        <w:tc>
          <w:tcPr>
            <w:tcW w:type="dxa" w:w="191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Propõe e encerra</w:t>
            </w:r>
          </w:p>
        </w:tc>
      </w:tr>
      <w:tr>
        <w:tc>
          <w:tcPr>
            <w:tcW w:type="dxa" w:w="180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Auditoria</w:t>
            </w:r>
          </w:p>
        </w:tc>
        <w:tc>
          <w:tcPr>
            <w:tcW w:type="dxa" w:w="1831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 (do próprio filho)</w:t>
            </w:r>
          </w:p>
        </w:tc>
        <w:tc>
          <w:tcPr>
            <w:tcW w:type="dxa" w:w="1456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Sem acesso</w:t>
            </w:r>
          </w:p>
        </w:tc>
        <w:tc>
          <w:tcPr>
            <w:tcW w:type="dxa" w:w="2065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Sem acesso</w:t>
            </w:r>
          </w:p>
        </w:tc>
        <w:tc>
          <w:tcPr>
            <w:tcW w:type="dxa" w:w="191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 administrativa</w:t>
            </w:r>
          </w:p>
        </w:tc>
      </w:tr>
      <w:tr>
        <w:tc>
          <w:tcPr>
            <w:tcW w:type="dxa" w:w="1802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Após revogação do consentimento</w:t>
            </w:r>
          </w:p>
        </w:tc>
        <w:tc>
          <w:tcPr>
            <w:tcW w:type="dxa" w:w="1831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</w:t>
            </w:r>
          </w:p>
        </w:tc>
        <w:tc>
          <w:tcPr>
            <w:tcW w:type="dxa" w:w="1456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Sem acesso</w:t>
            </w:r>
          </w:p>
        </w:tc>
        <w:tc>
          <w:tcPr>
            <w:tcW w:type="dxa" w:w="2065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Sem acesso</w:t>
            </w:r>
          </w:p>
        </w:tc>
        <w:tc>
          <w:tcPr>
            <w:tcW w:type="dxa" w:w="1917"/>
          </w:tcPr>
          <w:p>
            <w:pPr>
              <w:spacing w:line="240" w:lineRule="auto" w:before="0"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Leitura</w:t>
            </w:r>
          </w:p>
        </w:tc>
      </w:tr>
    </w:tbl>
    <w:p>
      <w:pPr>
        <w:spacing w:line="240" w:lineRule="auto" w:before="40" w:after="240"/>
        <w:jc w:val="left"/>
      </w:pPr>
      <w:r>
        <w:rPr>
          <w:rFonts w:ascii="Arial" w:hAnsi="Arial"/>
          <w:b w:val="0"/>
          <w:i/>
          <w:sz w:val="20"/>
        </w:rPr>
        <w:t>Fonte: PEI Vivo (2026).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Na etapa de prototipação e implementação, foram desenvolvidas as telas dos quatro perfis sobre um cenário demonstrativo fictício, sem dados reais de estudante: um estudante de nove anos, do 4º ano, com interesse manifesto por dinossauros, cujo perfil de aprendizagem foi construído por docente, responsável e profissional de saúde fictícios. O protótipo contempla o consentimento por escopo, o registro de observações, o fechamento do ciclo, a validação dos parâmetros, a geração, revisão e aprovação do material, a tela de privacidade da família e a explicação de cada acesso negado.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 xml:space="preserve">Ao final, a solução será avaliada por dois procedimentos definidos antes da coleta. O primeiro é a verificação técnica automatizada, em cinco níveis: testes unitários do motor, que cobrem a assimetria da RN03 em todos os parâmetros; testes dos casos de uso das Edge Functions, com o banco e os serviços externos substituídos por dublês em cenários de sucesso, falha, tempo esgotado, carga inválida e dado duplicado; testes de integração com o banco no PGlite, que tentam primeiro o acesso negado e só depois o permitido, incluindo uma sonda de 31 tentativas de acesso indevido; testes de contrato com o Supabase real no GitHub Actions; e testes ponta a ponta em navegador, nas larguras de 390 e 1280 pixels, com verificação automática de acessibilidade. O segundo é a avaliação de usabilidade com usuários, em sessão individual de cerca de 20 minutos, em que cada participante lê o TCLE, executa três tarefas do seu perfil e responde ao questionário SUS (Brooke, 1996). </w:t>
      </w:r>
      <w:r>
        <w:rPr>
          <w:rFonts w:ascii="Arial" w:hAnsi="Arial"/>
          <w:b w:val="0"/>
          <w:i w:val="0"/>
          <w:sz w:val="24"/>
          <w:highlight w:val="yellow"/>
        </w:rPr>
        <w:t>[PREENCHER: local, período e número de participantes por perfil, incluindo pelo menos 2 profissionais de saúde.]</w:t>
      </w:r>
    </w:p>
    <w:p>
      <w:pPr>
        <w:keepNext/>
        <w:spacing w:line="360" w:lineRule="auto" w:before="360" w:after="120"/>
        <w:jc w:val="left"/>
      </w:pPr>
      <w:r>
        <w:rPr>
          <w:rFonts w:ascii="Arial" w:hAnsi="Arial"/>
          <w:b/>
          <w:i w:val="0"/>
          <w:sz w:val="24"/>
        </w:rPr>
        <w:t>4. RESULTADOS E DISCUSSÕES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Será desenvolvida na Avaliação N2, com a entrega geral para a banca final.</w:t>
      </w:r>
    </w:p>
    <w:p>
      <w:pPr>
        <w:keepNext/>
        <w:spacing w:line="360" w:lineRule="auto" w:before="360" w:after="120"/>
        <w:jc w:val="left"/>
      </w:pPr>
      <w:r>
        <w:rPr>
          <w:rFonts w:ascii="Arial" w:hAnsi="Arial"/>
          <w:b/>
          <w:i w:val="0"/>
          <w:sz w:val="24"/>
        </w:rPr>
        <w:t>5. CONSIDERAÇÕES FINAIS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Será desenvolvida na Avaliação N2, com a entrega geral para a banca final.</w:t>
      </w:r>
    </w:p>
    <w:p>
      <w:r>
        <w:br w:type="page"/>
      </w:r>
    </w:p>
    <w:p>
      <w:pPr>
        <w:keepNext/>
        <w:spacing w:line="360" w:lineRule="auto" w:before="360" w:after="120"/>
        <w:jc w:val="left"/>
      </w:pPr>
      <w:r>
        <w:rPr>
          <w:rFonts w:ascii="Arial" w:hAnsi="Arial"/>
          <w:b/>
          <w:i w:val="0"/>
          <w:sz w:val="24"/>
        </w:rPr>
        <w:t>REFERÊNCIAS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AMERICAN PSYCHIATRIC ASSOCIATION. </w:t>
      </w:r>
      <w:r>
        <w:rPr>
          <w:rFonts w:ascii="Arial" w:hAnsi="Arial"/>
          <w:b/>
          <w:i w:val="0"/>
          <w:sz w:val="22"/>
        </w:rPr>
        <w:t>Manual diagnóstico e estatístico de transtornos mentais</w:t>
      </w:r>
      <w:r>
        <w:rPr>
          <w:rFonts w:ascii="Arial" w:hAnsi="Arial"/>
          <w:b w:val="0"/>
          <w:i w:val="0"/>
          <w:sz w:val="22"/>
        </w:rPr>
        <w:t>: DSM-5-TR. 5. ed., texto revisado. Porto Alegre: Artmed, 2023.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ASSOCIAÇÃO BRASILEIRA DE NORMAS TÉCNICAS. </w:t>
      </w:r>
      <w:r>
        <w:rPr>
          <w:rFonts w:ascii="Arial" w:hAnsi="Arial"/>
          <w:b/>
          <w:i w:val="0"/>
          <w:sz w:val="22"/>
        </w:rPr>
        <w:t>NBR 17225</w:t>
      </w:r>
      <w:r>
        <w:rPr>
          <w:rFonts w:ascii="Arial" w:hAnsi="Arial"/>
          <w:b w:val="0"/>
          <w:i w:val="0"/>
          <w:sz w:val="22"/>
        </w:rPr>
        <w:t>: acessibilidade em conteúdo e aplicações web – requisitos. Rio de Janeiro: ABNT, 2025.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BATTISTELLO, Viviane Cristina de Mattos; LISBOA, Elise Ribas; MARTINS, Rosemari Lorenz. Inclusão de alunos com autismo em sala de aula e o Plano Educacional Individualizado (PEI). </w:t>
      </w:r>
      <w:r>
        <w:rPr>
          <w:rFonts w:ascii="Arial" w:hAnsi="Arial"/>
          <w:b/>
          <w:i w:val="0"/>
          <w:sz w:val="22"/>
        </w:rPr>
        <w:t>Linguagens, Educação e Sociedade</w:t>
      </w:r>
      <w:r>
        <w:rPr>
          <w:rFonts w:ascii="Arial" w:hAnsi="Arial"/>
          <w:b w:val="0"/>
          <w:i w:val="0"/>
          <w:sz w:val="22"/>
        </w:rPr>
        <w:t>, [Teresina], v. 28, n. 57, p. 1-23, 2024. DOI: https://doi.org/10.26694/rles.v28i57.4334.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BRASIL. Conselho Nacional de Saúde. Resolução nº 510, de 7 de abril de 2016. Dispõe sobre as normas aplicáveis a pesquisas em Ciências Humanas e Sociais. </w:t>
      </w:r>
      <w:r>
        <w:rPr>
          <w:rFonts w:ascii="Arial" w:hAnsi="Arial"/>
          <w:b/>
          <w:i w:val="0"/>
          <w:sz w:val="22"/>
        </w:rPr>
        <w:t>Diário Oficial da União</w:t>
      </w:r>
      <w:r>
        <w:rPr>
          <w:rFonts w:ascii="Arial" w:hAnsi="Arial"/>
          <w:b w:val="0"/>
          <w:i w:val="0"/>
          <w:sz w:val="22"/>
        </w:rPr>
        <w:t>: seção 1, Brasília, DF, p. 44-46, 24 maio 2016.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BRASIL. </w:t>
      </w:r>
      <w:r>
        <w:rPr>
          <w:rFonts w:ascii="Arial" w:hAnsi="Arial"/>
          <w:b/>
          <w:i w:val="0"/>
          <w:sz w:val="22"/>
        </w:rPr>
        <w:t>Lei nº 13.146, de 6 de julho de 2015</w:t>
      </w:r>
      <w:r>
        <w:rPr>
          <w:rFonts w:ascii="Arial" w:hAnsi="Arial"/>
          <w:b w:val="0"/>
          <w:i w:val="0"/>
          <w:sz w:val="22"/>
        </w:rPr>
        <w:t>. Institui a Lei Brasileira de Inclusão da Pessoa com Deficiência (Estatuto da Pessoa com Deficiência). Brasília, DF: Presidência da República, [2015]. Disponível em: https://www.planalto.gov.br/ccivil_03/_ato2015-2018/2015/lei/l13146.htm. Acesso em: 13 out. 2026.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BRASIL. </w:t>
      </w:r>
      <w:r>
        <w:rPr>
          <w:rFonts w:ascii="Arial" w:hAnsi="Arial"/>
          <w:b/>
          <w:i w:val="0"/>
          <w:sz w:val="22"/>
        </w:rPr>
        <w:t>Lei nº 13.709, de 14 de agosto de 2018</w:t>
      </w:r>
      <w:r>
        <w:rPr>
          <w:rFonts w:ascii="Arial" w:hAnsi="Arial"/>
          <w:b w:val="0"/>
          <w:i w:val="0"/>
          <w:sz w:val="22"/>
        </w:rPr>
        <w:t>. Lei Geral de Proteção de Dados Pessoais (LGPD). Brasília, DF: Presidência da República, [2018]. Disponível em: https://www.planalto.gov.br/ccivil_03/_ato2015-2018/2018/lei/l13709.htm. Acesso em: 13 out. 2026.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BRASIL. </w:t>
      </w:r>
      <w:r>
        <w:rPr>
          <w:rFonts w:ascii="Arial" w:hAnsi="Arial"/>
          <w:b/>
          <w:i w:val="0"/>
          <w:sz w:val="22"/>
        </w:rPr>
        <w:t>Lei nº 14.254, de 30 de novembro de 2021</w:t>
      </w:r>
      <w:r>
        <w:rPr>
          <w:rFonts w:ascii="Arial" w:hAnsi="Arial"/>
          <w:b w:val="0"/>
          <w:i w:val="0"/>
          <w:sz w:val="22"/>
        </w:rPr>
        <w:t>. Dispõe sobre o acompanhamento integral para educandos com dislexia ou Transtorno do Déficit de Atenção com Hiperatividade (TDAH) ou outro transtorno de aprendizagem. Brasília, DF: Presidência da República, [2021]. Disponível em: https://www.planalto.gov.br/ccivil_03/_ato2019-2022/2021/lei/l14254.htm. Acesso em: 13 out. 2026.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BROOKE, John. SUS: a "quick and dirty" usability scale. In: JORDAN, Patrick W. et al. (ed.). </w:t>
      </w:r>
      <w:r>
        <w:rPr>
          <w:rFonts w:ascii="Arial" w:hAnsi="Arial"/>
          <w:b/>
          <w:i w:val="0"/>
          <w:sz w:val="22"/>
        </w:rPr>
        <w:t>Usability evaluation in industry</w:t>
      </w:r>
      <w:r>
        <w:rPr>
          <w:rFonts w:ascii="Arial" w:hAnsi="Arial"/>
          <w:b w:val="0"/>
          <w:i w:val="0"/>
          <w:sz w:val="22"/>
        </w:rPr>
        <w:t>. London: Taylor &amp; Francis, 1996. p. 189-194.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CAST. </w:t>
      </w:r>
      <w:r>
        <w:rPr>
          <w:rFonts w:ascii="Arial" w:hAnsi="Arial"/>
          <w:b/>
          <w:i w:val="0"/>
          <w:sz w:val="22"/>
        </w:rPr>
        <w:t>Universal Design for Learning Guidelines version 2.2</w:t>
      </w:r>
      <w:r>
        <w:rPr>
          <w:rFonts w:ascii="Arial" w:hAnsi="Arial"/>
          <w:b w:val="0"/>
          <w:i w:val="0"/>
          <w:sz w:val="22"/>
        </w:rPr>
        <w:t>. Wakefield, MA: CAST, 2018. Disponível em: https://udlguidelines.cast.org. Acesso em: 13 out. 2026.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DRESCH, Aline; LACERDA, Daniel Pacheco; ANTUNES JÚNIOR, José Antonio Valle. </w:t>
      </w:r>
      <w:r>
        <w:rPr>
          <w:rFonts w:ascii="Arial" w:hAnsi="Arial"/>
          <w:b/>
          <w:i w:val="0"/>
          <w:sz w:val="22"/>
        </w:rPr>
        <w:t>Design science research</w:t>
      </w:r>
      <w:r>
        <w:rPr>
          <w:rFonts w:ascii="Arial" w:hAnsi="Arial"/>
          <w:b w:val="0"/>
          <w:i w:val="0"/>
          <w:sz w:val="22"/>
        </w:rPr>
        <w:t>: método de pesquisa para avanço da ciência e tecnologia. Porto Alegre: Bookman, 2015.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FONTANA, Evelline Cristhine; CRUZ, Gilmar de Carvalho. Plano Educacional Individualizado e o reconhecimento da diferença para o ensino da Educação Física. </w:t>
      </w:r>
      <w:r>
        <w:rPr>
          <w:rFonts w:ascii="Arial" w:hAnsi="Arial"/>
          <w:b/>
          <w:i w:val="0"/>
          <w:sz w:val="22"/>
        </w:rPr>
        <w:t>Caderno de Educação Física e Esporte</w:t>
      </w:r>
      <w:r>
        <w:rPr>
          <w:rFonts w:ascii="Arial" w:hAnsi="Arial"/>
          <w:b w:val="0"/>
          <w:i w:val="0"/>
          <w:sz w:val="22"/>
        </w:rPr>
        <w:t>, Marechal Cândido Rondon, v. 20, 2022. DOI: https://doi.org/10.36453/cefe.2022.29468.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FRONTLINE EDUCATION. </w:t>
      </w:r>
      <w:r>
        <w:rPr>
          <w:rFonts w:ascii="Arial" w:hAnsi="Arial"/>
          <w:b/>
          <w:i w:val="0"/>
          <w:sz w:val="22"/>
        </w:rPr>
        <w:t>IEP and Special Education Management</w:t>
      </w:r>
      <w:r>
        <w:rPr>
          <w:rFonts w:ascii="Arial" w:hAnsi="Arial"/>
          <w:b w:val="0"/>
          <w:i w:val="0"/>
          <w:sz w:val="22"/>
        </w:rPr>
        <w:t>. [S. l.], 2026. Disponível em: https://www.frontlineeducation.com/special-programs/special-ed-software/iep-management/. Acesso em: 13 out. 2026.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GOALBOOK. </w:t>
      </w:r>
      <w:r>
        <w:rPr>
          <w:rFonts w:ascii="Arial" w:hAnsi="Arial"/>
          <w:b/>
          <w:i w:val="0"/>
          <w:sz w:val="22"/>
        </w:rPr>
        <w:t>Goalbook Toolkit</w:t>
      </w:r>
      <w:r>
        <w:rPr>
          <w:rFonts w:ascii="Arial" w:hAnsi="Arial"/>
          <w:b w:val="0"/>
          <w:i w:val="0"/>
          <w:sz w:val="22"/>
        </w:rPr>
        <w:t>. [S. l.], 2026. Disponível em: https://goalbook.com/explore-toolkit/. Acesso em: 13 out. 2026.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HEVNER, Alan R.; MARCH, Salvatore T.; PARK, Jinsoo; RAM, Sudha. Design science in information systems research. </w:t>
      </w:r>
      <w:r>
        <w:rPr>
          <w:rFonts w:ascii="Arial" w:hAnsi="Arial"/>
          <w:b/>
          <w:i w:val="0"/>
          <w:sz w:val="22"/>
        </w:rPr>
        <w:t>MIS Quarterly</w:t>
      </w:r>
      <w:r>
        <w:rPr>
          <w:rFonts w:ascii="Arial" w:hAnsi="Arial"/>
          <w:b w:val="0"/>
          <w:i w:val="0"/>
          <w:sz w:val="22"/>
        </w:rPr>
        <w:t>, Minneapolis, v. 28, n. 1, p. 75-105, 2004.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INSTITUTO NACIONAL DE ESTUDOS E PESQUISAS EDUCACIONAIS ANÍSIO TEIXEIRA (INEP). </w:t>
      </w:r>
      <w:r>
        <w:rPr>
          <w:rFonts w:ascii="Arial" w:hAnsi="Arial"/>
          <w:b/>
          <w:i w:val="0"/>
          <w:sz w:val="22"/>
        </w:rPr>
        <w:t>Notas estatísticas</w:t>
      </w:r>
      <w:r>
        <w:rPr>
          <w:rFonts w:ascii="Arial" w:hAnsi="Arial"/>
          <w:b w:val="0"/>
          <w:i w:val="0"/>
          <w:sz w:val="22"/>
        </w:rPr>
        <w:t xml:space="preserve">: Censo Escolar da Educação Básica 2025. Brasília, DF: Inep, 2026. Disponível em: </w:t>
      </w:r>
      <w:r>
        <w:rPr>
          <w:rFonts w:ascii="Arial" w:hAnsi="Arial"/>
          <w:b w:val="0"/>
          <w:i w:val="0"/>
          <w:sz w:val="22"/>
          <w:highlight w:val="yellow"/>
        </w:rPr>
        <w:t>[CONFERIR: link da publicação no portal gov.br/inep, de onde saíram os dados de 2,5 milhões, 82% e 11,3%]</w:t>
      </w:r>
      <w:r>
        <w:rPr>
          <w:rFonts w:ascii="Arial" w:hAnsi="Arial"/>
          <w:b w:val="0"/>
          <w:i w:val="0"/>
          <w:sz w:val="22"/>
        </w:rPr>
        <w:t xml:space="preserve">. Acesso em: </w:t>
      </w:r>
      <w:r>
        <w:rPr>
          <w:rFonts w:ascii="Arial" w:hAnsi="Arial"/>
          <w:b w:val="0"/>
          <w:i w:val="0"/>
          <w:sz w:val="22"/>
          <w:highlight w:val="yellow"/>
        </w:rPr>
        <w:t>[CONFERIR]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INTERNATIONAL ORGANIZATION FOR STANDARDIZATION. </w:t>
      </w:r>
      <w:r>
        <w:rPr>
          <w:rFonts w:ascii="Arial" w:hAnsi="Arial"/>
          <w:b/>
          <w:i w:val="0"/>
          <w:sz w:val="22"/>
        </w:rPr>
        <w:t>ISO/IEC 25010:2023</w:t>
      </w:r>
      <w:r>
        <w:rPr>
          <w:rFonts w:ascii="Arial" w:hAnsi="Arial"/>
          <w:b w:val="0"/>
          <w:i w:val="0"/>
          <w:sz w:val="22"/>
        </w:rPr>
        <w:t>: systems and software engineering – systems and software quality requirements and evaluation (SQuaRE) – product quality model. Geneva: ISO, 2023.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MICROSOFT. </w:t>
      </w:r>
      <w:r>
        <w:rPr>
          <w:rFonts w:ascii="Arial" w:hAnsi="Arial"/>
          <w:b/>
          <w:i w:val="0"/>
          <w:sz w:val="22"/>
        </w:rPr>
        <w:t>What is Azure AI Immersive Reader?</w:t>
      </w:r>
      <w:r>
        <w:rPr>
          <w:rFonts w:ascii="Arial" w:hAnsi="Arial"/>
          <w:b w:val="0"/>
          <w:i w:val="0"/>
          <w:sz w:val="22"/>
        </w:rPr>
        <w:t xml:space="preserve"> Redmond: Microsoft, 2024. Disponível em: https://learn.microsoft.com/en-us/azure/ai-services/immersive-reader/overview. Acesso em: 26 out. 2026.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MODESTO, Mônica Andrade; ARAÚJO, Isabela Rosália Lima de; MENDONÇA, Ana Cláudia Sousa. Desafios e possibilidades para a implementação de uma educação especial e inclusiva na rede estadual de ensino de Sergipe. </w:t>
      </w:r>
      <w:r>
        <w:rPr>
          <w:rFonts w:ascii="Arial" w:hAnsi="Arial"/>
          <w:b/>
          <w:i w:val="0"/>
          <w:sz w:val="22"/>
        </w:rPr>
        <w:t>Revista Brasileira de Educação Especial</w:t>
      </w:r>
      <w:r>
        <w:rPr>
          <w:rFonts w:ascii="Arial" w:hAnsi="Arial"/>
          <w:b w:val="0"/>
          <w:i w:val="0"/>
          <w:sz w:val="22"/>
        </w:rPr>
        <w:t>, Bauru, v. 29, 2023. DOI: https://doi.org/10.1590/1980-54702023v29e0234.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ORGANIZAÇÃO DAS NAÇÕES UNIDAS. </w:t>
      </w:r>
      <w:r>
        <w:rPr>
          <w:rFonts w:ascii="Arial" w:hAnsi="Arial"/>
          <w:b/>
          <w:i w:val="0"/>
          <w:sz w:val="22"/>
        </w:rPr>
        <w:t>Transformando nosso mundo</w:t>
      </w:r>
      <w:r>
        <w:rPr>
          <w:rFonts w:ascii="Arial" w:hAnsi="Arial"/>
          <w:b w:val="0"/>
          <w:i w:val="0"/>
          <w:sz w:val="22"/>
        </w:rPr>
        <w:t>: a Agenda 2030 para o Desenvolvimento Sustentável. Nova York: ONU, 2015. Disponível em: https://brasil.un.org/pt-br/91863-agenda-2030-para-o-desenvolvimento-sustent%C3%A1vel. Acesso em: 13 out. 2026.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PEREIRA, Marta Aparecida de Mello; PEREIRA, Ana Paula Camilo. Planejamento educacional individualizado: desafios e avanços nas práticas colaborativas de ensino. </w:t>
      </w:r>
      <w:r>
        <w:rPr>
          <w:rFonts w:ascii="Arial" w:hAnsi="Arial"/>
          <w:b/>
          <w:i w:val="0"/>
          <w:sz w:val="22"/>
        </w:rPr>
        <w:t>Colloquium Humanarum</w:t>
      </w:r>
      <w:r>
        <w:rPr>
          <w:rFonts w:ascii="Arial" w:hAnsi="Arial"/>
          <w:b w:val="0"/>
          <w:i w:val="0"/>
          <w:sz w:val="22"/>
        </w:rPr>
        <w:t>, Presidente Prudente, v. 19, p. 1-15, jan./dez. 2022. DOI: https://doi.org/10.5747/ch.2022.v19.h523.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POSTGRESQL GLOBAL DEVELOPMENT GROUP. </w:t>
      </w:r>
      <w:r>
        <w:rPr>
          <w:rFonts w:ascii="Arial" w:hAnsi="Arial"/>
          <w:b/>
          <w:i w:val="0"/>
          <w:sz w:val="22"/>
        </w:rPr>
        <w:t>PostgreSQL documentation</w:t>
      </w:r>
      <w:r>
        <w:rPr>
          <w:rFonts w:ascii="Arial" w:hAnsi="Arial"/>
          <w:b w:val="0"/>
          <w:i w:val="0"/>
          <w:sz w:val="22"/>
        </w:rPr>
        <w:t>: row security policies. [S. l.], 2025. Disponível em: https://www.postgresql.org/docs/current/ddl-rowsecurity.html. Acesso em: 13 out. 2026.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PRODANOV, Cleber Cristiano; FREITAS, Ernani Cesar de. </w:t>
      </w:r>
      <w:r>
        <w:rPr>
          <w:rFonts w:ascii="Arial" w:hAnsi="Arial"/>
          <w:b/>
          <w:i w:val="0"/>
          <w:sz w:val="22"/>
        </w:rPr>
        <w:t>Metodologia do trabalho científico</w:t>
      </w:r>
      <w:r>
        <w:rPr>
          <w:rFonts w:ascii="Arial" w:hAnsi="Arial"/>
          <w:b w:val="0"/>
          <w:i w:val="0"/>
          <w:sz w:val="22"/>
        </w:rPr>
        <w:t>: métodos e técnicas da pesquisa e do trabalho acadêmico. 2. ed. Novo Hamburgo: Feevale, 2013. E-book. Disponível em: https://www.feevale.br/Comum/midias/0163c988-1f5d-496f-b118-a6e009a7a2f9/E-book%20Metodologia%20do%20Trabalho%20Cientifico.pdf. Acesso em: 13 out. 2026.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PROVA ADAPTADA. </w:t>
      </w:r>
      <w:r>
        <w:rPr>
          <w:rFonts w:ascii="Arial" w:hAnsi="Arial"/>
          <w:b/>
          <w:i w:val="0"/>
          <w:sz w:val="22"/>
        </w:rPr>
        <w:t>IncluiAI</w:t>
      </w:r>
      <w:r>
        <w:rPr>
          <w:rFonts w:ascii="Arial" w:hAnsi="Arial"/>
          <w:b w:val="0"/>
          <w:i w:val="0"/>
          <w:sz w:val="22"/>
        </w:rPr>
        <w:t>: Prova Adaptada. [S. l.], 2026. Disponível em: https://incluiai.com.br/. Acesso em: 13 out. 2026.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RELLO, Luz; BAEZA-YATES, Ricardo. Good fonts for dyslexia. In: INTERNATIONAL ACM SIGACCESS CONFERENCE ON COMPUTERS AND ACCESSIBILITY, 15., 2013, Bellevue. </w:t>
      </w:r>
      <w:r>
        <w:rPr>
          <w:rFonts w:ascii="Arial" w:hAnsi="Arial"/>
          <w:b/>
          <w:i w:val="0"/>
          <w:sz w:val="22"/>
        </w:rPr>
        <w:t>Proceedings</w:t>
      </w:r>
      <w:r>
        <w:rPr>
          <w:rFonts w:ascii="Arial" w:hAnsi="Arial"/>
          <w:b w:val="0"/>
          <w:i w:val="0"/>
          <w:sz w:val="22"/>
        </w:rPr>
        <w:t xml:space="preserve"> [...]. New York: ACM, 2013.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SILVA, Gabrielle Lenz da; CAMARGO, Síglia Pimentel Höher. Revisão integrativa da produção científica nacional sobre o Plano Educacional Individualizado. </w:t>
      </w:r>
      <w:r>
        <w:rPr>
          <w:rFonts w:ascii="Arial" w:hAnsi="Arial"/>
          <w:b/>
          <w:i w:val="0"/>
          <w:sz w:val="22"/>
        </w:rPr>
        <w:t>Revista Educação Especial</w:t>
      </w:r>
      <w:r>
        <w:rPr>
          <w:rFonts w:ascii="Arial" w:hAnsi="Arial"/>
          <w:b w:val="0"/>
          <w:i w:val="0"/>
          <w:sz w:val="22"/>
        </w:rPr>
        <w:t>, Santa Maria, v. 34, p. 1-23, 2021. DOI: https://doi.org/10.5902/1984686X66509.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SUPABASE. </w:t>
      </w:r>
      <w:r>
        <w:rPr>
          <w:rFonts w:ascii="Arial" w:hAnsi="Arial"/>
          <w:b/>
          <w:i w:val="0"/>
          <w:sz w:val="22"/>
        </w:rPr>
        <w:t>Supabase documentation</w:t>
      </w:r>
      <w:r>
        <w:rPr>
          <w:rFonts w:ascii="Arial" w:hAnsi="Arial"/>
          <w:b w:val="0"/>
          <w:i w:val="0"/>
          <w:sz w:val="22"/>
        </w:rPr>
        <w:t>: row level security. [S. l.], 2025. Disponível em: https://supabase.com/docs/guides/database/postgres/row-level-security. Acesso em: 13 out. 2026.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VÍNCULOO. </w:t>
      </w:r>
      <w:r>
        <w:rPr>
          <w:rFonts w:ascii="Arial" w:hAnsi="Arial"/>
          <w:b/>
          <w:i w:val="0"/>
          <w:sz w:val="22"/>
        </w:rPr>
        <w:t>Vínculoo</w:t>
      </w:r>
      <w:r>
        <w:rPr>
          <w:rFonts w:ascii="Arial" w:hAnsi="Arial"/>
          <w:b w:val="0"/>
          <w:i w:val="0"/>
          <w:sz w:val="22"/>
        </w:rPr>
        <w:t>: educação especial e inclusiva. [S. l.], 2026. Disponível em: https://vinculoo.com.br/. Acesso em: 13 out. 2026.</w:t>
      </w:r>
    </w:p>
    <w:p>
      <w:pPr>
        <w:spacing w:line="240" w:lineRule="auto" w:before="0" w:after="200"/>
        <w:jc w:val="left"/>
      </w:pPr>
      <w:r>
        <w:rPr>
          <w:rFonts w:ascii="Arial" w:hAnsi="Arial"/>
          <w:b w:val="0"/>
          <w:i w:val="0"/>
          <w:sz w:val="22"/>
        </w:rPr>
        <w:t xml:space="preserve">WORLD WIDE WEB CONSORTIUM. </w:t>
      </w:r>
      <w:r>
        <w:rPr>
          <w:rFonts w:ascii="Arial" w:hAnsi="Arial"/>
          <w:b/>
          <w:i w:val="0"/>
          <w:sz w:val="22"/>
        </w:rPr>
        <w:t>Web Content Accessibility Guidelines (WCAG) 2.2</w:t>
      </w:r>
      <w:r>
        <w:rPr>
          <w:rFonts w:ascii="Arial" w:hAnsi="Arial"/>
          <w:b w:val="0"/>
          <w:i w:val="0"/>
          <w:sz w:val="22"/>
        </w:rPr>
        <w:t>. W3C Recommendation, 5 out. 2023, atualizada em 12 dez. 2024. Disponível em: https://www.w3.org/TR/WCAG22/. Acesso em: 13 out. 2026.</w:t>
      </w:r>
    </w:p>
    <w:p>
      <w:r>
        <w:br w:type="page"/>
      </w:r>
    </w:p>
    <w:p>
      <w:pPr>
        <w:keepNext/>
        <w:spacing w:line="360" w:lineRule="auto" w:before="360" w:after="120"/>
        <w:jc w:val="left"/>
      </w:pPr>
      <w:r>
        <w:rPr>
          <w:rFonts w:ascii="Arial" w:hAnsi="Arial"/>
          <w:b/>
          <w:i w:val="0"/>
          <w:sz w:val="24"/>
        </w:rPr>
        <w:t>6. DECLARAÇÃO DE USO DE INTELIGÊNCIA ARTIFICIAL GENERATIVA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 w:val="0"/>
          <w:i w:val="0"/>
          <w:sz w:val="24"/>
        </w:rPr>
        <w:t>Declaramos que utilizamos ferramentas de Inteligência Artificial Generativa como apoio instrumental na elaboração deste Trabalho de Conclusão de Curso, exclusivamente para fins de estruturação, suporte à redação e formatação do documento, assumindo total e exclusiva responsabilidade pelo conteúdo final, rigor técnico-científico e autoria do texto apresentado.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/>
          <w:i w:val="0"/>
          <w:sz w:val="24"/>
        </w:rPr>
        <w:t>Ferramenta Utilizada:</w:t>
      </w:r>
      <w:r>
        <w:rPr>
          <w:rFonts w:ascii="Arial" w:hAnsi="Arial"/>
          <w:b w:val="0"/>
          <w:i w:val="0"/>
          <w:sz w:val="24"/>
        </w:rPr>
        <w:t xml:space="preserve"> Modelo de Linguagem de Grande Escala (LLM): Claude (Anthropic).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/>
          <w:i w:val="0"/>
          <w:sz w:val="24"/>
        </w:rPr>
        <w:t>Finalidade Específica do Uso:</w:t>
      </w:r>
      <w:r>
        <w:rPr>
          <w:rFonts w:ascii="Arial" w:hAnsi="Arial"/>
          <w:b w:val="0"/>
          <w:i w:val="0"/>
          <w:sz w:val="24"/>
        </w:rPr>
        <w:t xml:space="preserve"> Auxílio na organização estrutural da Introdução, tendo como base o pré-projeto; apoio à redação e aprofundamento do Referencial Teórico; revisão gramatical, ortográfica e verificação de coesão e coerência textual nessas seções.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/>
          <w:i w:val="0"/>
          <w:sz w:val="24"/>
        </w:rPr>
        <w:t>Localização no Texto:</w:t>
      </w:r>
      <w:r>
        <w:rPr>
          <w:rFonts w:ascii="Arial" w:hAnsi="Arial"/>
          <w:b w:val="0"/>
          <w:i w:val="0"/>
          <w:sz w:val="24"/>
        </w:rPr>
        <w:t xml:space="preserve"> Introdução (elaborada a partir do pré-projeto) e seções do Referencial Teórico do TCC.</w:t>
      </w:r>
    </w:p>
    <w:p>
      <w:pPr>
        <w:spacing w:line="360" w:lineRule="auto" w:before="0" w:after="120"/>
        <w:ind w:firstLine="709"/>
        <w:jc w:val="both"/>
      </w:pPr>
      <w:r>
        <w:rPr>
          <w:rFonts w:ascii="Arial" w:hAnsi="Arial"/>
          <w:b/>
          <w:i w:val="0"/>
          <w:sz w:val="24"/>
        </w:rPr>
        <w:t>Garantia de Autoria e Responsabilidade:</w:t>
      </w:r>
      <w:r>
        <w:rPr>
          <w:rFonts w:ascii="Arial" w:hAnsi="Arial"/>
          <w:b w:val="0"/>
          <w:i w:val="0"/>
          <w:sz w:val="24"/>
        </w:rPr>
        <w:t xml:space="preserve"> Atestamos que todas as concepções teóricas, decisões metodológicas, análises, resultados e conclusões deste trabalho constituem produções intelectuais de nossa exclusiva autoria, revisadas e validadas criticamente sob nossa inteira responsabilidade acadêmica. A utilização da ferramenta de IA generativa limitou-se a funções instrumentais de apoio à escrita, sem interferência na originalidade e no mérito científico do trabalho.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  <w:r>
      <w:rPr>
        <w:rFonts w:ascii="Arial" w:hAnsi="Arial"/>
        <w:b w:val="0"/>
        <w:i w:val="0"/>
        <w:sz w:val="18"/>
      </w:rPr>
      <w:t>_______________________</w:t>
    </w:r>
  </w:p>
  <w:p>
    <w:pPr>
      <w:spacing w:line="240" w:lineRule="auto" w:before="0" w:after="0"/>
    </w:pPr>
    <w:r>
      <w:rPr>
        <w:rFonts w:ascii="Arial" w:hAnsi="Arial"/>
        <w:sz w:val="18"/>
        <w:vertAlign w:val="superscript"/>
      </w:rPr>
      <w:t>1</w:t>
    </w:r>
    <w:r>
      <w:rPr>
        <w:rFonts w:ascii="Arial" w:hAnsi="Arial"/>
        <w:b w:val="0"/>
        <w:i w:val="0"/>
        <w:sz w:val="18"/>
      </w:rPr>
      <w:t xml:space="preserve"> Discente do Curso de Bacharelado em Sistemas de Informação, Centro Universitário CEUNI – FAMETRO, Manaus, Amazonas, Brasil. E-mail: geandre51@gmail.com</w:t>
    </w:r>
  </w:p>
  <w:p>
    <w:pPr>
      <w:spacing w:line="240" w:lineRule="auto" w:before="0" w:after="0"/>
    </w:pPr>
    <w:r>
      <w:rPr>
        <w:rFonts w:ascii="Arial" w:hAnsi="Arial"/>
        <w:sz w:val="18"/>
        <w:vertAlign w:val="superscript"/>
      </w:rPr>
      <w:t>2</w:t>
    </w:r>
    <w:r>
      <w:rPr>
        <w:rFonts w:ascii="Arial" w:hAnsi="Arial"/>
        <w:b w:val="0"/>
        <w:i w:val="0"/>
        <w:sz w:val="18"/>
      </w:rPr>
      <w:t xml:space="preserve"> Discente do Curso de Bacharelado em Sistemas de Informação, Centro Universitário CEUNI – FAMETRO, Manaus, Amazonas, Brasil. E-mail: jeanvictor.st29@gmail.com</w:t>
    </w:r>
  </w:p>
  <w:p>
    <w:pPr>
      <w:spacing w:line="240" w:lineRule="auto" w:before="0" w:after="0"/>
    </w:pPr>
    <w:r>
      <w:rPr>
        <w:rFonts w:ascii="Arial" w:hAnsi="Arial"/>
        <w:sz w:val="18"/>
        <w:vertAlign w:val="superscript"/>
      </w:rPr>
      <w:t>3</w:t>
    </w:r>
    <w:r>
      <w:rPr>
        <w:rFonts w:ascii="Arial" w:hAnsi="Arial"/>
        <w:b w:val="0"/>
        <w:i w:val="0"/>
        <w:sz w:val="18"/>
      </w:rPr>
      <w:t xml:space="preserve"> Docente e orientadora do Curso de Bacharelado em Sistemas de Informação, Centro Universitário CEUNI – FAMETRO, Manaus, Amazonas, Brasil. E-mail: prof.luanalealm@gmail.com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vetor1.svg"/><Relationship Id="rId12" Type="http://schemas.openxmlformats.org/officeDocument/2006/relationships/image" Target="media/image2.png"/><Relationship Id="rId13" Type="http://schemas.openxmlformats.org/officeDocument/2006/relationships/image" Target="media/vetor2.svg"/><Relationship Id="rId14" Type="http://schemas.openxmlformats.org/officeDocument/2006/relationships/image" Target="media/image3.png"/><Relationship Id="rId15" Type="http://schemas.openxmlformats.org/officeDocument/2006/relationships/image" Target="media/vetor3.svg"/><Relationship Id="rId16" Type="http://schemas.openxmlformats.org/officeDocument/2006/relationships/image" Target="media/image4.png"/><Relationship Id="rId17" Type="http://schemas.openxmlformats.org/officeDocument/2006/relationships/image" Target="media/vetor4.svg"/><Relationship Id="rId18" Type="http://schemas.openxmlformats.org/officeDocument/2006/relationships/image" Target="media/image5.png"/><Relationship Id="rId19" Type="http://schemas.openxmlformats.org/officeDocument/2006/relationships/image" Target="media/vetor5.svg"/><Relationship Id="rId20" Type="http://schemas.openxmlformats.org/officeDocument/2006/relationships/image" Target="media/image6.png"/><Relationship Id="rId21" Type="http://schemas.openxmlformats.org/officeDocument/2006/relationships/image" Target="media/vetor6.svg"/><Relationship Id="rId22" Type="http://schemas.openxmlformats.org/officeDocument/2006/relationships/image" Target="media/image7.png"/><Relationship Id="rId23" Type="http://schemas.openxmlformats.org/officeDocument/2006/relationships/image" Target="media/vetor7.svg"/><Relationship Id="rId24" Type="http://schemas.openxmlformats.org/officeDocument/2006/relationships/image" Target="media/image8.png"/><Relationship Id="rId25" Type="http://schemas.openxmlformats.org/officeDocument/2006/relationships/image" Target="media/vetor8.svg"/><Relationship Id="rId26" Type="http://schemas.openxmlformats.org/officeDocument/2006/relationships/image" Target="media/image9.png"/><Relationship Id="rId27" Type="http://schemas.openxmlformats.org/officeDocument/2006/relationships/image" Target="media/vetor9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PEI VIVO: SISTEMA WEB PARA ADAPTAÇÃO CONTÍNUA DE MATERIAL DIDÁTICO A PARTIR DE OBSERVAÇÃO PEDAGÓGICA VALIDADA POR PROFISSIONAL DE SAÚDE</dc:title>
  <dc:subject/>
  <dc:creator>Geandre Alfaia Colares; Jean Victor Torres dos Santos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