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--/ESTADOS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t_criacao(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,estado VARCHAR2(1)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,ciclos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,esperando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tc_pid_pk primary key(pid));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t_criacao_hist(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,estado VARCHAR2(1)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,ciclos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,ciclo_cpu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tch_pid_pk primary key(pid));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t_apto(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fila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ta_pid_fk FOREIGN KEY (pid) REFERENCES t_criacao(pid)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ta_pid_pk primary key(pid));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t_executando(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te_pid_fk FOREIGN KEY (pid) REFERENCES t_criacao(pid)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te_pid_pk primary key(pid));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t_destruido(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td_pid_fk FOREIGN KEY (pid) REFERENCES t_criacao(pid)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td_pid_pk primary key(pid));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--/RECURSOS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t_hd(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fila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,ciclos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th_pid_fk FOREIGN KEY (pid) REFERENCES t_criacao(pid)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th_pid_pk primary key(pid));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t_hd_hist(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fila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,ciclo_cpu NUMBER NOT NULL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,ciclos NUMBER NOT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t_video(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fila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,ciclos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tv_pid_fk FOREIGN KEY (pid) REFERENCES t_criacao(pid)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tv_pid_pk primary key(pid));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t_video_hist(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fila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,ciclo_cpu NUMBER NOT NULL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,ciclos NUMBER NOT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t_impressora(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fila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,ciclos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ti_pid_fk FOREIGN KEY (pid) REFERENCES t_criacao(pid)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,CONSTRAINT ti_pid_pk primary key(pid));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t_impressora_hist(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fila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,ciclo_cpu NUMBER NOT NULL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,ciclos NUMBER NOT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t_log_pid(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ciclo_cpu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,pid NUMBER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,ciclo_pid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,estado VARCHAR2(1)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,acao VARCHAR2(100) NOT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--/SEQUENCES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t_apto_seq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t_impressora_seq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t_video_seq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t_hd_seq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