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37 shots in final edit order (26 already generated, 11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33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gift table (nuqut)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Senbi and the bride react (she covers her face)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side by side looking forward, shocked, mouths closed, eyes wide. 2.5–5.5 s: Senbi slowly turns his head toward the bride with a hopeful, questioning look. 5.5–8 s: the bride slowly lifts a hand and covers her face, her shoulders shaking, while Senbi forces a stiff smile.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looked at his bride. She covered her face. Not in the contract.” The line takes about 5.2 seconds; leave the last second free of speech so the moment can land. Music: low sustained tension with distant marching drums, almost silent. Sound effects: nervous breath, a muffled stifled laugh without words,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presses her lips tightly together with her mouth closed, and her shoulders begin to shake. 2.5–5.5 s: she bursts out laughing with a wide open laughing mouth (a laugh, not speech),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thought he was getting married. Honestly, that was all he'd prepared for.” The line takes about 5.2 seconds; leave the last second free of speech so the moment can land. The narrator says this line exactly once, never repeats it, and stays silent for the rest of the clip; nobody on screen says anything before laughing. Music: warm gentle resolution with the same flute and strings, low under the voice. Sound effects: bride's laughter (laughing sounds only, no words), Senbi's laughter (laughing sounds only,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Senbi looked at his bride. She covered her face. Not in the contract.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thought he was getting married. Honestly, that was all he'd prepared for.</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27: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28, 29, 34: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26: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36: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