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37 shots in final edit order (25 already generated, 12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33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gift table (nuqut)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Senbi and the bride react (she covers her face)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side by side looking forward, shocked, mouths closed, eyes wide. 2.5–5.5 s: Senbi slowly turns his head toward the bride with a hopeful, questioning look. 5.5–8 s: the bride slowly lifts a hand and covers her face, her shoulders shaking, while Senbi forces a stiff smile.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looked at his bride. She covered her face. Not in the contract.” The line takes about 5.2 seconds; leave the last second free of speech so the moment can land. Music: low sustained tension with distant marching drums, almost silent. Sound effects: nervous breath, a muffled stifled laugh without words,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presses her lips tightly together with her mouth closed, and her shoulders begin to shake. 2.5–5.5 s: she bursts out laughing with a wide open laughing mouth (a laugh, not speech),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thought he was getting married. Honestly, that was all he'd prepared for.” The line takes about 5.2 seconds; leave the last second free of speech so the moment can land. The narrator says this line exactly once, never repeats it, and stays silent for the rest of the clip; nobody on screen says anything before laughing. Music: warm gentle resolution with the same flute and strings, low under the voice. Sound effects: bride's laughter (laughing sounds only, no words), Senbi's laughter (laughing sounds only,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Senbi looked at his bride. She covered her face. Not in the contract.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thought he was getting married. Honestly, that was all he'd prepared for.</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27: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28, 29, 34: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26: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36: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