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left"/>
      </w:pPr>
      <w:r>
        <w:rPr>
          <w:rFonts w:ascii="Calibri" w:hAnsi="Calibri"/>
          <w:b/>
          <w:color w:val="1F4D78"/>
          <w:sz w:val="44"/>
        </w:rPr>
        <w:t>Apresentação para Usuários</w:t>
      </w:r>
    </w:p>
    <w:p>
      <w:pPr>
        <w:spacing w:after="280"/>
      </w:pPr>
      <w:r>
        <w:rPr>
          <w:rFonts w:ascii="Calibri" w:hAnsi="Calibri"/>
          <w:color w:val="667085"/>
          <w:sz w:val="28"/>
        </w:rPr>
        <w:t>Sistema Financeiro e Controle de Licenças</w:t>
      </w:r>
    </w:p>
    <w:tbl>
      <w:tblPr>
        <w:tblW w:type="auto" w:w="0"/>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8911"/>
      </w:tblGrid>
      <w:tr>
        <w:tc>
          <w:tcPr>
            <w:tcW w:type="dxa" w:w="8911"/>
            <w:shd w:fill="F4F6F9"/>
            <w:vAlign w:val="center"/>
          </w:tcPr>
          <w:p>
            <w:pPr>
              <w:spacing w:after="0"/>
            </w:pPr>
            <w:r/>
            <w:r>
              <w:rPr>
                <w:rFonts w:ascii="Calibri" w:hAnsi="Calibri"/>
                <w:b/>
                <w:color w:val="1F4D78"/>
                <w:sz w:val="20"/>
              </w:rPr>
              <w:t>Objetivo: facilitar o controle de licenças, usuários, vínculos e boletos em um único lugar, com acesso simples pela rede da empresa.</w:t>
            </w:r>
          </w:p>
        </w:tc>
      </w:tr>
    </w:tbl>
    <w:p/>
    <w:p>
      <w:pPr>
        <w:keepNext/>
        <w:spacing w:before="240" w:after="100"/>
      </w:pPr>
      <w:r>
        <w:rPr>
          <w:rFonts w:ascii="Calibri" w:hAnsi="Calibri"/>
          <w:b/>
          <w:color w:val="1F4D78"/>
          <w:sz w:val="28"/>
        </w:rPr>
        <w:t>1. O que é o sistema</w:t>
      </w:r>
    </w:p>
    <w:p>
      <w:pPr>
        <w:spacing w:after="120" w:line="264" w:lineRule="auto"/>
      </w:pPr>
      <w:r>
        <w:rPr>
          <w:rFonts w:ascii="Calibri" w:hAnsi="Calibri"/>
          <w:color w:val="17202A"/>
          <w:sz w:val="22"/>
        </w:rPr>
        <w:t>O sistema foi criado para centralizar informações que antes ficavam espalhadas em planilhas, anotações ou consultas manuais. Ele permite acompanhar quais softwares existem, quais licenças estão cadastradas, quem está usando cada licença e quais boletos estão próximos do vencimento.</w:t>
      </w:r>
    </w:p>
    <w:p>
      <w:pPr>
        <w:keepNext/>
        <w:spacing w:before="240" w:after="100"/>
      </w:pPr>
      <w:r>
        <w:rPr>
          <w:rFonts w:ascii="Calibri" w:hAnsi="Calibri"/>
          <w:b/>
          <w:color w:val="1F4D78"/>
          <w:sz w:val="28"/>
        </w:rPr>
        <w:t>2. Principais benefícios</w:t>
      </w:r>
    </w:p>
    <w:p>
      <w:pPr>
        <w:numPr>
          <w:ilvl w:val="0"/>
          <w:numId w:val="2"/>
        </w:numPr>
        <w:spacing w:after="60"/>
      </w:pPr>
      <w:r>
        <w:rPr>
          <w:rFonts w:ascii="Calibri" w:hAnsi="Calibri"/>
          <w:sz w:val="21"/>
        </w:rPr>
        <w:t>Mais organização no controle de softwares e licenças.</w:t>
      </w:r>
    </w:p>
    <w:p>
      <w:pPr>
        <w:numPr>
          <w:ilvl w:val="0"/>
          <w:numId w:val="2"/>
        </w:numPr>
        <w:spacing w:after="60"/>
      </w:pPr>
      <w:r>
        <w:rPr>
          <w:rFonts w:ascii="Calibri" w:hAnsi="Calibri"/>
          <w:sz w:val="21"/>
        </w:rPr>
        <w:t>Facilidade para saber quem está usando cada licença.</w:t>
      </w:r>
    </w:p>
    <w:p>
      <w:pPr>
        <w:numPr>
          <w:ilvl w:val="0"/>
          <w:numId w:val="2"/>
        </w:numPr>
        <w:spacing w:after="60"/>
      </w:pPr>
      <w:r>
        <w:rPr>
          <w:rFonts w:ascii="Calibri" w:hAnsi="Calibri"/>
          <w:sz w:val="21"/>
        </w:rPr>
        <w:t>Acompanhamento de boletos vencidos ou próximos de vencer.</w:t>
      </w:r>
    </w:p>
    <w:p>
      <w:pPr>
        <w:numPr>
          <w:ilvl w:val="0"/>
          <w:numId w:val="2"/>
        </w:numPr>
        <w:spacing w:after="60"/>
      </w:pPr>
      <w:r>
        <w:rPr>
          <w:rFonts w:ascii="Calibri" w:hAnsi="Calibri"/>
          <w:sz w:val="21"/>
        </w:rPr>
        <w:t>Consulta rápida de AP, fornecedor, filial e status de pagamento.</w:t>
      </w:r>
    </w:p>
    <w:p>
      <w:pPr>
        <w:numPr>
          <w:ilvl w:val="0"/>
          <w:numId w:val="2"/>
        </w:numPr>
        <w:spacing w:after="60"/>
      </w:pPr>
      <w:r>
        <w:rPr>
          <w:rFonts w:ascii="Calibri" w:hAnsi="Calibri"/>
          <w:sz w:val="21"/>
        </w:rPr>
        <w:t>Relatórios e filtros para encontrar informações com poucos cliques.</w:t>
      </w:r>
    </w:p>
    <w:p>
      <w:pPr>
        <w:numPr>
          <w:ilvl w:val="0"/>
          <w:numId w:val="2"/>
        </w:numPr>
        <w:spacing w:after="60"/>
      </w:pPr>
      <w:r>
        <w:rPr>
          <w:rFonts w:ascii="Calibri" w:hAnsi="Calibri"/>
          <w:sz w:val="21"/>
        </w:rPr>
        <w:t>Controle de acesso por perfil, evitando alterações indevidas.</w:t>
      </w:r>
    </w:p>
    <w:p>
      <w:pPr>
        <w:keepNext/>
        <w:spacing w:before="240" w:after="100"/>
      </w:pPr>
      <w:r>
        <w:rPr>
          <w:rFonts w:ascii="Calibri" w:hAnsi="Calibri"/>
          <w:b/>
          <w:color w:val="1F4D78"/>
          <w:sz w:val="28"/>
        </w:rPr>
        <w:t>3. Como acessar</w:t>
      </w:r>
    </w:p>
    <w:tbl>
      <w:tblPr>
        <w:tblStyle w:val="Tabelacomgrade"/>
        <w:tblW w:type="auto" w:w="0"/>
        <w:jc w:val="left"/>
        <w:tblLayout w:type="fixed"/>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4455"/>
        <w:gridCol w:w="4455"/>
      </w:tblGrid>
      <w:tr>
        <w:tc>
          <w:tcPr>
            <w:tcW w:type="dxa" w:w="1152"/>
            <w:vAlign w:val="center"/>
            <w:shd w:fill="E8EEF5"/>
          </w:tcPr>
          <w:p>
            <w:pPr>
              <w:spacing w:after="0"/>
            </w:pPr>
            <w:r/>
            <w:r>
              <w:rPr>
                <w:rFonts w:ascii="Calibri" w:hAnsi="Calibri"/>
                <w:b/>
                <w:color w:val="1F4D78"/>
                <w:sz w:val="20"/>
              </w:rPr>
              <w:t>Passo</w:t>
            </w:r>
          </w:p>
        </w:tc>
        <w:tc>
          <w:tcPr>
            <w:tcW w:type="dxa" w:w="8208"/>
            <w:vAlign w:val="center"/>
            <w:shd w:fill="E8EEF5"/>
          </w:tcPr>
          <w:p>
            <w:pPr>
              <w:spacing w:after="0"/>
            </w:pPr>
            <w:r/>
            <w:r>
              <w:rPr>
                <w:rFonts w:ascii="Calibri" w:hAnsi="Calibri"/>
                <w:b/>
                <w:color w:val="1F4D78"/>
                <w:sz w:val="20"/>
              </w:rPr>
              <w:t>O que fazer</w:t>
            </w:r>
          </w:p>
        </w:tc>
      </w:tr>
      <w:tr>
        <w:tc>
          <w:tcPr>
            <w:tcW w:type="dxa" w:w="1152"/>
            <w:vAlign w:val="center"/>
          </w:tcPr>
          <w:p>
            <w:pPr>
              <w:spacing w:after="0"/>
            </w:pPr>
            <w:r/>
            <w:r>
              <w:rPr>
                <w:rFonts w:ascii="Calibri" w:hAnsi="Calibri"/>
                <w:b w:val="0"/>
                <w:color w:val="17202A"/>
                <w:sz w:val="20"/>
              </w:rPr>
              <w:t>1</w:t>
            </w:r>
          </w:p>
        </w:tc>
        <w:tc>
          <w:tcPr>
            <w:tcW w:type="dxa" w:w="8208"/>
            <w:vAlign w:val="center"/>
          </w:tcPr>
          <w:p>
            <w:pPr>
              <w:spacing w:after="0"/>
            </w:pPr>
            <w:r/>
            <w:r>
              <w:rPr>
                <w:rFonts w:ascii="Calibri" w:hAnsi="Calibri"/>
                <w:b w:val="0"/>
                <w:color w:val="17202A"/>
                <w:sz w:val="20"/>
              </w:rPr>
              <w:t>Abrir o navegador.</w:t>
            </w:r>
          </w:p>
        </w:tc>
      </w:tr>
      <w:tr>
        <w:tc>
          <w:tcPr>
            <w:tcW w:type="dxa" w:w="1152"/>
            <w:vAlign w:val="center"/>
          </w:tcPr>
          <w:p>
            <w:pPr>
              <w:spacing w:after="0"/>
            </w:pPr>
            <w:r/>
            <w:r>
              <w:rPr>
                <w:rFonts w:ascii="Calibri" w:hAnsi="Calibri"/>
                <w:b w:val="0"/>
                <w:color w:val="17202A"/>
                <w:sz w:val="20"/>
              </w:rPr>
              <w:t>2</w:t>
            </w:r>
          </w:p>
        </w:tc>
        <w:tc>
          <w:tcPr>
            <w:tcW w:type="dxa" w:w="8208"/>
            <w:vAlign w:val="center"/>
          </w:tcPr>
          <w:p>
            <w:pPr>
              <w:spacing w:after="0"/>
            </w:pPr>
            <w:r/>
            <w:r>
              <w:rPr>
                <w:rFonts w:ascii="Calibri" w:hAnsi="Calibri"/>
                <w:b w:val="0"/>
                <w:color w:val="17202A"/>
                <w:sz w:val="20"/>
              </w:rPr>
              <w:t>Acessar o endereço informado pela área de Projetos e Sistemas.</w:t>
            </w:r>
          </w:p>
        </w:tc>
      </w:tr>
      <w:tr>
        <w:tc>
          <w:tcPr>
            <w:tcW w:type="dxa" w:w="1152"/>
            <w:vAlign w:val="center"/>
          </w:tcPr>
          <w:p>
            <w:pPr>
              <w:spacing w:after="0"/>
            </w:pPr>
            <w:r/>
            <w:r>
              <w:rPr>
                <w:rFonts w:ascii="Calibri" w:hAnsi="Calibri"/>
                <w:b w:val="0"/>
                <w:color w:val="17202A"/>
                <w:sz w:val="20"/>
              </w:rPr>
              <w:t>3</w:t>
            </w:r>
          </w:p>
        </w:tc>
        <w:tc>
          <w:tcPr>
            <w:tcW w:type="dxa" w:w="8208"/>
            <w:vAlign w:val="center"/>
          </w:tcPr>
          <w:p>
            <w:pPr>
              <w:spacing w:after="0"/>
            </w:pPr>
            <w:r/>
            <w:r>
              <w:rPr>
                <w:rFonts w:ascii="Calibri" w:hAnsi="Calibri"/>
                <w:b w:val="0"/>
                <w:color w:val="17202A"/>
                <w:sz w:val="20"/>
              </w:rPr>
              <w:t>Informar usuário e senha.</w:t>
            </w:r>
          </w:p>
        </w:tc>
      </w:tr>
      <w:tr>
        <w:tc>
          <w:tcPr>
            <w:tcW w:type="dxa" w:w="1152"/>
            <w:vAlign w:val="center"/>
          </w:tcPr>
          <w:p>
            <w:pPr>
              <w:spacing w:after="0"/>
            </w:pPr>
            <w:r/>
            <w:r>
              <w:rPr>
                <w:rFonts w:ascii="Calibri" w:hAnsi="Calibri"/>
                <w:b w:val="0"/>
                <w:color w:val="17202A"/>
                <w:sz w:val="20"/>
              </w:rPr>
              <w:t>4</w:t>
            </w:r>
          </w:p>
        </w:tc>
        <w:tc>
          <w:tcPr>
            <w:tcW w:type="dxa" w:w="8208"/>
            <w:vAlign w:val="center"/>
          </w:tcPr>
          <w:p>
            <w:pPr>
              <w:spacing w:after="0"/>
            </w:pPr>
            <w:r/>
            <w:r>
              <w:rPr>
                <w:rFonts w:ascii="Calibri" w:hAnsi="Calibri"/>
                <w:b w:val="0"/>
                <w:color w:val="17202A"/>
                <w:sz w:val="20"/>
              </w:rPr>
              <w:t>Usar o menu lateral para navegar entre as telas.</w:t>
            </w:r>
          </w:p>
        </w:tc>
      </w:tr>
    </w:tbl>
    <w:p/>
    <w:p>
      <w:pPr>
        <w:keepNext/>
        <w:spacing w:before="240" w:after="100"/>
      </w:pPr>
      <w:r>
        <w:rPr>
          <w:rFonts w:ascii="Calibri" w:hAnsi="Calibri"/>
          <w:b/>
          <w:color w:val="1F4D78"/>
          <w:sz w:val="28"/>
        </w:rPr>
        <w:t>4. Perfis de acesso</w:t>
      </w:r>
    </w:p>
    <w:tbl>
      <w:tblPr>
        <w:tblStyle w:val="Tabelacomgrade"/>
        <w:tblW w:type="auto" w:w="0"/>
        <w:jc w:val="left"/>
        <w:tblLayout w:type="fixed"/>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4455"/>
        <w:gridCol w:w="4455"/>
      </w:tblGrid>
      <w:tr>
        <w:tc>
          <w:tcPr>
            <w:tcW w:type="dxa" w:w="2592"/>
            <w:vAlign w:val="center"/>
            <w:shd w:fill="E8EEF5"/>
          </w:tcPr>
          <w:p>
            <w:pPr>
              <w:spacing w:after="0"/>
            </w:pPr>
            <w:r/>
            <w:r>
              <w:rPr>
                <w:rFonts w:ascii="Calibri" w:hAnsi="Calibri"/>
                <w:b/>
                <w:color w:val="1F4D78"/>
                <w:sz w:val="20"/>
              </w:rPr>
              <w:t>Perfil</w:t>
            </w:r>
          </w:p>
        </w:tc>
        <w:tc>
          <w:tcPr>
            <w:tcW w:type="dxa" w:w="6768"/>
            <w:vAlign w:val="center"/>
            <w:shd w:fill="E8EEF5"/>
          </w:tcPr>
          <w:p>
            <w:pPr>
              <w:spacing w:after="0"/>
            </w:pPr>
            <w:r/>
            <w:r>
              <w:rPr>
                <w:rFonts w:ascii="Calibri" w:hAnsi="Calibri"/>
                <w:b/>
                <w:color w:val="1F4D78"/>
                <w:sz w:val="20"/>
              </w:rPr>
              <w:t>O que pode fazer</w:t>
            </w:r>
          </w:p>
        </w:tc>
      </w:tr>
      <w:tr>
        <w:tc>
          <w:tcPr>
            <w:tcW w:type="dxa" w:w="2592"/>
            <w:vAlign w:val="center"/>
          </w:tcPr>
          <w:p>
            <w:pPr>
              <w:spacing w:after="0"/>
            </w:pPr>
            <w:r/>
            <w:r>
              <w:rPr>
                <w:rFonts w:ascii="Calibri" w:hAnsi="Calibri"/>
                <w:b w:val="0"/>
                <w:color w:val="17202A"/>
                <w:sz w:val="20"/>
              </w:rPr>
              <w:t>Admin</w:t>
            </w:r>
          </w:p>
        </w:tc>
        <w:tc>
          <w:tcPr>
            <w:tcW w:type="dxa" w:w="6768"/>
            <w:vAlign w:val="center"/>
          </w:tcPr>
          <w:p>
            <w:pPr>
              <w:spacing w:after="0"/>
            </w:pPr>
            <w:r/>
            <w:r>
              <w:rPr>
                <w:rFonts w:ascii="Calibri" w:hAnsi="Calibri"/>
                <w:b w:val="0"/>
                <w:color w:val="17202A"/>
                <w:sz w:val="20"/>
              </w:rPr>
              <w:t>Pode cadastrar, editar, excluir, importar dados, atualizar informações do MEGA, configurar e-mails e gerenciar acessos.</w:t>
            </w:r>
          </w:p>
        </w:tc>
      </w:tr>
      <w:tr>
        <w:tc>
          <w:tcPr>
            <w:tcW w:type="dxa" w:w="2592"/>
            <w:vAlign w:val="center"/>
          </w:tcPr>
          <w:p>
            <w:pPr>
              <w:spacing w:after="0"/>
            </w:pPr>
            <w:r/>
            <w:r>
              <w:rPr>
                <w:rFonts w:ascii="Calibri" w:hAnsi="Calibri"/>
                <w:b w:val="0"/>
                <w:color w:val="17202A"/>
                <w:sz w:val="20"/>
              </w:rPr>
              <w:t>Somente visualização</w:t>
            </w:r>
          </w:p>
        </w:tc>
        <w:tc>
          <w:tcPr>
            <w:tcW w:type="dxa" w:w="6768"/>
            <w:vAlign w:val="center"/>
          </w:tcPr>
          <w:p>
            <w:pPr>
              <w:spacing w:after="0"/>
            </w:pPr>
            <w:r/>
            <w:r>
              <w:rPr>
                <w:rFonts w:ascii="Calibri" w:hAnsi="Calibri"/>
                <w:b w:val="0"/>
                <w:color w:val="17202A"/>
                <w:sz w:val="20"/>
              </w:rPr>
              <w:t>Pode consultar informações e relatórios, mas não pode cadastrar, editar ou excluir registros.</w:t>
            </w:r>
          </w:p>
        </w:tc>
      </w:tr>
    </w:tbl>
    <w:p/>
    <w:p>
      <w:pPr>
        <w:keepNext/>
        <w:spacing w:before="240" w:after="100"/>
      </w:pPr>
      <w:r>
        <w:rPr>
          <w:rFonts w:ascii="Calibri" w:hAnsi="Calibri"/>
          <w:b/>
          <w:color w:val="1F4D78"/>
          <w:sz w:val="28"/>
        </w:rPr>
        <w:t>5. Telas do sistema</w:t>
      </w:r>
    </w:p>
    <w:tbl>
      <w:tblPr>
        <w:tblStyle w:val="Tabelacomgrade"/>
        <w:tblW w:type="auto" w:w="0"/>
        <w:jc w:val="left"/>
        <w:tblLayout w:type="fixed"/>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4455"/>
        <w:gridCol w:w="4455"/>
      </w:tblGrid>
      <w:tr>
        <w:tc>
          <w:tcPr>
            <w:tcW w:type="dxa" w:w="2160"/>
            <w:vAlign w:val="center"/>
            <w:shd w:fill="F2F4F7"/>
          </w:tcPr>
          <w:p>
            <w:pPr>
              <w:spacing w:after="0"/>
            </w:pPr>
            <w:r/>
            <w:r>
              <w:rPr>
                <w:rFonts w:ascii="Calibri" w:hAnsi="Calibri"/>
                <w:b/>
                <w:color w:val="1F4D78"/>
                <w:sz w:val="20"/>
              </w:rPr>
              <w:t>Tela</w:t>
            </w:r>
          </w:p>
        </w:tc>
        <w:tc>
          <w:tcPr>
            <w:tcW w:type="dxa" w:w="7200"/>
            <w:vAlign w:val="center"/>
            <w:shd w:fill="F2F4F7"/>
          </w:tcPr>
          <w:p>
            <w:pPr>
              <w:spacing w:after="0"/>
            </w:pPr>
            <w:r/>
            <w:r>
              <w:rPr>
                <w:rFonts w:ascii="Calibri" w:hAnsi="Calibri"/>
                <w:b/>
                <w:color w:val="1F4D78"/>
                <w:sz w:val="20"/>
              </w:rPr>
              <w:t>Para que serve</w:t>
            </w:r>
          </w:p>
        </w:tc>
      </w:tr>
      <w:tr>
        <w:tc>
          <w:tcPr>
            <w:tcW w:type="dxa" w:w="2160"/>
            <w:vAlign w:val="center"/>
          </w:tcPr>
          <w:p>
            <w:pPr>
              <w:spacing w:after="0"/>
            </w:pPr>
            <w:r/>
            <w:r>
              <w:rPr>
                <w:rFonts w:ascii="Calibri" w:hAnsi="Calibri"/>
                <w:b w:val="0"/>
                <w:color w:val="17202A"/>
                <w:sz w:val="20"/>
              </w:rPr>
              <w:t>Painel</w:t>
            </w:r>
          </w:p>
        </w:tc>
        <w:tc>
          <w:tcPr>
            <w:tcW w:type="dxa" w:w="7200"/>
            <w:vAlign w:val="center"/>
          </w:tcPr>
          <w:p>
            <w:pPr>
              <w:spacing w:after="0"/>
            </w:pPr>
            <w:r/>
            <w:r>
              <w:rPr>
                <w:rFonts w:ascii="Calibri" w:hAnsi="Calibri"/>
                <w:b w:val="0"/>
                <w:color w:val="17202A"/>
                <w:sz w:val="20"/>
              </w:rPr>
              <w:t>Mostra os principais resumos: softwares, chaves cadastradas, licenças em uso, disponíveis e vencidas.</w:t>
            </w:r>
          </w:p>
        </w:tc>
      </w:tr>
      <w:tr>
        <w:tc>
          <w:tcPr>
            <w:tcW w:type="dxa" w:w="2160"/>
            <w:vAlign w:val="center"/>
          </w:tcPr>
          <w:p>
            <w:pPr>
              <w:spacing w:after="0"/>
            </w:pPr>
            <w:r/>
            <w:r>
              <w:rPr>
                <w:rFonts w:ascii="Calibri" w:hAnsi="Calibri"/>
                <w:b w:val="0"/>
                <w:color w:val="17202A"/>
                <w:sz w:val="20"/>
              </w:rPr>
              <w:t>Licenças</w:t>
            </w:r>
          </w:p>
        </w:tc>
        <w:tc>
          <w:tcPr>
            <w:tcW w:type="dxa" w:w="7200"/>
            <w:vAlign w:val="center"/>
          </w:tcPr>
          <w:p>
            <w:pPr>
              <w:spacing w:after="0"/>
            </w:pPr>
            <w:r/>
            <w:r>
              <w:rPr>
                <w:rFonts w:ascii="Calibri" w:hAnsi="Calibri"/>
                <w:b w:val="0"/>
                <w:color w:val="17202A"/>
                <w:sz w:val="20"/>
              </w:rPr>
              <w:t>Lista os softwares e suas chaves. Quando um software tem várias chaves, é possível expandir para ver cada uma.</w:t>
            </w:r>
          </w:p>
        </w:tc>
      </w:tr>
      <w:tr>
        <w:tc>
          <w:tcPr>
            <w:tcW w:type="dxa" w:w="2160"/>
            <w:vAlign w:val="center"/>
          </w:tcPr>
          <w:p>
            <w:pPr>
              <w:spacing w:after="0"/>
            </w:pPr>
            <w:r/>
            <w:r>
              <w:rPr>
                <w:rFonts w:ascii="Calibri" w:hAnsi="Calibri"/>
                <w:b w:val="0"/>
                <w:color w:val="17202A"/>
                <w:sz w:val="20"/>
              </w:rPr>
              <w:t>Usuários</w:t>
            </w:r>
          </w:p>
        </w:tc>
        <w:tc>
          <w:tcPr>
            <w:tcW w:type="dxa" w:w="7200"/>
            <w:vAlign w:val="center"/>
          </w:tcPr>
          <w:p>
            <w:pPr>
              <w:spacing w:after="0"/>
            </w:pPr>
            <w:r/>
            <w:r>
              <w:rPr>
                <w:rFonts w:ascii="Calibri" w:hAnsi="Calibri"/>
                <w:b w:val="0"/>
                <w:color w:val="17202A"/>
                <w:sz w:val="20"/>
              </w:rPr>
              <w:t>Mostra os usuários cadastrados e informações como e-mail, departamento e equipamento.</w:t>
            </w:r>
          </w:p>
        </w:tc>
      </w:tr>
      <w:tr>
        <w:tc>
          <w:tcPr>
            <w:tcW w:type="dxa" w:w="2160"/>
            <w:vAlign w:val="center"/>
          </w:tcPr>
          <w:p>
            <w:pPr>
              <w:spacing w:after="0"/>
            </w:pPr>
            <w:r/>
            <w:r>
              <w:rPr>
                <w:rFonts w:ascii="Calibri" w:hAnsi="Calibri"/>
                <w:b w:val="0"/>
                <w:color w:val="17202A"/>
                <w:sz w:val="20"/>
              </w:rPr>
              <w:t>Vínculos</w:t>
            </w:r>
          </w:p>
        </w:tc>
        <w:tc>
          <w:tcPr>
            <w:tcW w:type="dxa" w:w="7200"/>
            <w:vAlign w:val="center"/>
          </w:tcPr>
          <w:p>
            <w:pPr>
              <w:spacing w:after="0"/>
            </w:pPr>
            <w:r/>
            <w:r>
              <w:rPr>
                <w:rFonts w:ascii="Calibri" w:hAnsi="Calibri"/>
                <w:b w:val="0"/>
                <w:color w:val="17202A"/>
                <w:sz w:val="20"/>
              </w:rPr>
              <w:t>Mostra qual usuário está usando qual licença.</w:t>
            </w:r>
          </w:p>
        </w:tc>
      </w:tr>
      <w:tr>
        <w:tc>
          <w:tcPr>
            <w:tcW w:type="dxa" w:w="2160"/>
            <w:vAlign w:val="center"/>
          </w:tcPr>
          <w:p>
            <w:pPr>
              <w:spacing w:after="0"/>
            </w:pPr>
            <w:r/>
            <w:r>
              <w:rPr>
                <w:rFonts w:ascii="Calibri" w:hAnsi="Calibri"/>
                <w:b w:val="0"/>
                <w:color w:val="17202A"/>
                <w:sz w:val="20"/>
              </w:rPr>
              <w:t>Financeiro</w:t>
            </w:r>
          </w:p>
        </w:tc>
        <w:tc>
          <w:tcPr>
            <w:tcW w:type="dxa" w:w="7200"/>
            <w:vAlign w:val="center"/>
          </w:tcPr>
          <w:p>
            <w:pPr>
              <w:spacing w:after="0"/>
            </w:pPr>
            <w:r/>
            <w:r>
              <w:rPr>
                <w:rFonts w:ascii="Calibri" w:hAnsi="Calibri"/>
                <w:b w:val="0"/>
                <w:color w:val="17202A"/>
                <w:sz w:val="20"/>
              </w:rPr>
              <w:t>Mostra boletos, valores, vencimentos, status de pagamento, AP, filial e fornecedor.</w:t>
            </w:r>
          </w:p>
        </w:tc>
      </w:tr>
      <w:tr>
        <w:tc>
          <w:tcPr>
            <w:tcW w:type="dxa" w:w="2160"/>
            <w:vAlign w:val="center"/>
          </w:tcPr>
          <w:p>
            <w:pPr>
              <w:spacing w:after="0"/>
            </w:pPr>
            <w:r/>
            <w:r>
              <w:rPr>
                <w:rFonts w:ascii="Calibri" w:hAnsi="Calibri"/>
                <w:b w:val="0"/>
                <w:color w:val="17202A"/>
                <w:sz w:val="20"/>
              </w:rPr>
              <w:t>Relatórios</w:t>
            </w:r>
          </w:p>
        </w:tc>
        <w:tc>
          <w:tcPr>
            <w:tcW w:type="dxa" w:w="7200"/>
            <w:vAlign w:val="center"/>
          </w:tcPr>
          <w:p>
            <w:pPr>
              <w:spacing w:after="0"/>
            </w:pPr>
            <w:r/>
            <w:r>
              <w:rPr>
                <w:rFonts w:ascii="Calibri" w:hAnsi="Calibri"/>
                <w:b w:val="0"/>
                <w:color w:val="17202A"/>
                <w:sz w:val="20"/>
              </w:rPr>
              <w:t>Permite filtrar e extrair informações do sistema.</w:t>
            </w:r>
          </w:p>
        </w:tc>
      </w:tr>
      <w:tr>
        <w:tc>
          <w:tcPr>
            <w:tcW w:type="dxa" w:w="2160"/>
            <w:vAlign w:val="center"/>
          </w:tcPr>
          <w:p>
            <w:pPr>
              <w:spacing w:after="0"/>
            </w:pPr>
            <w:r/>
            <w:r>
              <w:rPr>
                <w:rFonts w:ascii="Calibri" w:hAnsi="Calibri"/>
                <w:b w:val="0"/>
                <w:color w:val="17202A"/>
                <w:sz w:val="20"/>
              </w:rPr>
              <w:t>Acessos</w:t>
            </w:r>
          </w:p>
        </w:tc>
        <w:tc>
          <w:tcPr>
            <w:tcW w:type="dxa" w:w="7200"/>
            <w:vAlign w:val="center"/>
          </w:tcPr>
          <w:p>
            <w:pPr>
              <w:spacing w:after="0"/>
            </w:pPr>
            <w:r/>
            <w:r>
              <w:rPr>
                <w:rFonts w:ascii="Calibri" w:hAnsi="Calibri"/>
                <w:b w:val="0"/>
                <w:color w:val="17202A"/>
                <w:sz w:val="20"/>
              </w:rPr>
              <w:t>Área administrativa para cadastrar quem pode entrar no sistema.</w:t>
            </w:r>
          </w:p>
        </w:tc>
      </w:tr>
      <w:tr>
        <w:tc>
          <w:tcPr>
            <w:tcW w:type="dxa" w:w="2160"/>
            <w:vAlign w:val="center"/>
          </w:tcPr>
          <w:p>
            <w:pPr>
              <w:spacing w:after="0"/>
            </w:pPr>
            <w:r/>
            <w:r>
              <w:rPr>
                <w:rFonts w:ascii="Calibri" w:hAnsi="Calibri"/>
                <w:b w:val="0"/>
                <w:color w:val="17202A"/>
                <w:sz w:val="20"/>
              </w:rPr>
              <w:t>Configurações</w:t>
            </w:r>
          </w:p>
        </w:tc>
        <w:tc>
          <w:tcPr>
            <w:tcW w:type="dxa" w:w="7200"/>
            <w:vAlign w:val="center"/>
          </w:tcPr>
          <w:p>
            <w:pPr>
              <w:spacing w:after="0"/>
            </w:pPr>
            <w:r/>
            <w:r>
              <w:rPr>
                <w:rFonts w:ascii="Calibri" w:hAnsi="Calibri"/>
                <w:b w:val="0"/>
                <w:color w:val="17202A"/>
                <w:sz w:val="20"/>
              </w:rPr>
              <w:t>Área administrativa para configurar disparos de e-mail.</w:t>
            </w:r>
          </w:p>
        </w:tc>
      </w:tr>
    </w:tbl>
    <w:p/>
    <w:p>
      <w:pPr>
        <w:keepNext/>
        <w:spacing w:before="240" w:after="100"/>
      </w:pPr>
      <w:r>
        <w:rPr>
          <w:rFonts w:ascii="Calibri" w:hAnsi="Calibri"/>
          <w:b/>
          <w:color w:val="1F4D78"/>
          <w:sz w:val="28"/>
        </w:rPr>
        <w:t>6. Como usar os resumos</w:t>
      </w:r>
    </w:p>
    <w:p>
      <w:pPr>
        <w:spacing w:after="120" w:line="264" w:lineRule="auto"/>
      </w:pPr>
      <w:r>
        <w:rPr>
          <w:rFonts w:ascii="Calibri" w:hAnsi="Calibri"/>
          <w:color w:val="17202A"/>
          <w:sz w:val="22"/>
        </w:rPr>
        <w:t>Os cards de resumo no topo das telas também funcionam como atalhos. Ao clicar em um resumo, o sistema abre a listagem já filtrada com os itens daquele indicador.</w:t>
      </w:r>
    </w:p>
    <w:tbl>
      <w:tblPr>
        <w:tblStyle w:val="Tabelacomgrade"/>
        <w:tblW w:type="auto" w:w="0"/>
        <w:jc w:val="left"/>
        <w:tblLayout w:type="fixed"/>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4455"/>
        <w:gridCol w:w="4455"/>
      </w:tblGrid>
      <w:tr>
        <w:tc>
          <w:tcPr>
            <w:tcW w:type="dxa" w:w="2448"/>
            <w:vAlign w:val="center"/>
            <w:shd w:fill="E8EEF5"/>
          </w:tcPr>
          <w:p>
            <w:pPr>
              <w:spacing w:after="0"/>
            </w:pPr>
            <w:r/>
            <w:r>
              <w:rPr>
                <w:rFonts w:ascii="Calibri" w:hAnsi="Calibri"/>
                <w:b/>
                <w:color w:val="1F4D78"/>
                <w:sz w:val="20"/>
              </w:rPr>
              <w:t>Resumo</w:t>
            </w:r>
          </w:p>
        </w:tc>
        <w:tc>
          <w:tcPr>
            <w:tcW w:type="dxa" w:w="6912"/>
            <w:vAlign w:val="center"/>
            <w:shd w:fill="E8EEF5"/>
          </w:tcPr>
          <w:p>
            <w:pPr>
              <w:spacing w:after="0"/>
            </w:pPr>
            <w:r/>
            <w:r>
              <w:rPr>
                <w:rFonts w:ascii="Calibri" w:hAnsi="Calibri"/>
                <w:b/>
                <w:color w:val="1F4D78"/>
                <w:sz w:val="20"/>
              </w:rPr>
              <w:t>Resultado ao clicar</w:t>
            </w:r>
          </w:p>
        </w:tc>
      </w:tr>
      <w:tr>
        <w:tc>
          <w:tcPr>
            <w:tcW w:type="dxa" w:w="2448"/>
            <w:vAlign w:val="center"/>
          </w:tcPr>
          <w:p>
            <w:pPr>
              <w:spacing w:after="0"/>
            </w:pPr>
            <w:r/>
            <w:r>
              <w:rPr>
                <w:rFonts w:ascii="Calibri" w:hAnsi="Calibri"/>
                <w:b w:val="0"/>
                <w:color w:val="17202A"/>
                <w:sz w:val="20"/>
              </w:rPr>
              <w:t>Vencidas</w:t>
            </w:r>
          </w:p>
        </w:tc>
        <w:tc>
          <w:tcPr>
            <w:tcW w:type="dxa" w:w="6912"/>
            <w:vAlign w:val="center"/>
          </w:tcPr>
          <w:p>
            <w:pPr>
              <w:spacing w:after="0"/>
            </w:pPr>
            <w:r/>
            <w:r>
              <w:rPr>
                <w:rFonts w:ascii="Calibri" w:hAnsi="Calibri"/>
                <w:b w:val="0"/>
                <w:color w:val="17202A"/>
                <w:sz w:val="20"/>
              </w:rPr>
              <w:t>Mostra licenças vencidas.</w:t>
            </w:r>
          </w:p>
        </w:tc>
      </w:tr>
      <w:tr>
        <w:tc>
          <w:tcPr>
            <w:tcW w:type="dxa" w:w="2448"/>
            <w:vAlign w:val="center"/>
          </w:tcPr>
          <w:p>
            <w:pPr>
              <w:spacing w:after="0"/>
            </w:pPr>
            <w:r/>
            <w:r>
              <w:rPr>
                <w:rFonts w:ascii="Calibri" w:hAnsi="Calibri"/>
                <w:b w:val="0"/>
                <w:color w:val="17202A"/>
                <w:sz w:val="20"/>
              </w:rPr>
              <w:t>Em uso</w:t>
            </w:r>
          </w:p>
        </w:tc>
        <w:tc>
          <w:tcPr>
            <w:tcW w:type="dxa" w:w="6912"/>
            <w:vAlign w:val="center"/>
          </w:tcPr>
          <w:p>
            <w:pPr>
              <w:spacing w:after="0"/>
            </w:pPr>
            <w:r/>
            <w:r>
              <w:rPr>
                <w:rFonts w:ascii="Calibri" w:hAnsi="Calibri"/>
                <w:b w:val="0"/>
                <w:color w:val="17202A"/>
                <w:sz w:val="20"/>
              </w:rPr>
              <w:t>Mostra vínculos ativos.</w:t>
            </w:r>
          </w:p>
        </w:tc>
      </w:tr>
      <w:tr>
        <w:tc>
          <w:tcPr>
            <w:tcW w:type="dxa" w:w="2448"/>
            <w:vAlign w:val="center"/>
          </w:tcPr>
          <w:p>
            <w:pPr>
              <w:spacing w:after="0"/>
            </w:pPr>
            <w:r/>
            <w:r>
              <w:rPr>
                <w:rFonts w:ascii="Calibri" w:hAnsi="Calibri"/>
                <w:b w:val="0"/>
                <w:color w:val="17202A"/>
                <w:sz w:val="20"/>
              </w:rPr>
              <w:t>Disponíveis</w:t>
            </w:r>
          </w:p>
        </w:tc>
        <w:tc>
          <w:tcPr>
            <w:tcW w:type="dxa" w:w="6912"/>
            <w:vAlign w:val="center"/>
          </w:tcPr>
          <w:p>
            <w:pPr>
              <w:spacing w:after="0"/>
            </w:pPr>
            <w:r/>
            <w:r>
              <w:rPr>
                <w:rFonts w:ascii="Calibri" w:hAnsi="Calibri"/>
                <w:b w:val="0"/>
                <w:color w:val="17202A"/>
                <w:sz w:val="20"/>
              </w:rPr>
              <w:t>Mostra licenças com vagas disponíveis.</w:t>
            </w:r>
          </w:p>
        </w:tc>
      </w:tr>
      <w:tr>
        <w:tc>
          <w:tcPr>
            <w:tcW w:type="dxa" w:w="2448"/>
            <w:vAlign w:val="center"/>
          </w:tcPr>
          <w:p>
            <w:pPr>
              <w:spacing w:after="0"/>
            </w:pPr>
            <w:r/>
            <w:r>
              <w:rPr>
                <w:rFonts w:ascii="Calibri" w:hAnsi="Calibri"/>
                <w:b w:val="0"/>
                <w:color w:val="17202A"/>
                <w:sz w:val="20"/>
              </w:rPr>
              <w:t>Aguardando</w:t>
            </w:r>
          </w:p>
        </w:tc>
        <w:tc>
          <w:tcPr>
            <w:tcW w:type="dxa" w:w="6912"/>
            <w:vAlign w:val="center"/>
          </w:tcPr>
          <w:p>
            <w:pPr>
              <w:spacing w:after="0"/>
            </w:pPr>
            <w:r/>
            <w:r>
              <w:rPr>
                <w:rFonts w:ascii="Calibri" w:hAnsi="Calibri"/>
                <w:b w:val="0"/>
                <w:color w:val="17202A"/>
                <w:sz w:val="20"/>
              </w:rPr>
              <w:t>Mostra boletos aguardando pagamento.</w:t>
            </w:r>
          </w:p>
        </w:tc>
      </w:tr>
      <w:tr>
        <w:tc>
          <w:tcPr>
            <w:tcW w:type="dxa" w:w="2448"/>
            <w:vAlign w:val="center"/>
          </w:tcPr>
          <w:p>
            <w:pPr>
              <w:spacing w:after="0"/>
            </w:pPr>
            <w:r/>
            <w:r>
              <w:rPr>
                <w:rFonts w:ascii="Calibri" w:hAnsi="Calibri"/>
                <w:b w:val="0"/>
                <w:color w:val="17202A"/>
                <w:sz w:val="20"/>
              </w:rPr>
              <w:t>Vencidos</w:t>
            </w:r>
          </w:p>
        </w:tc>
        <w:tc>
          <w:tcPr>
            <w:tcW w:type="dxa" w:w="6912"/>
            <w:vAlign w:val="center"/>
          </w:tcPr>
          <w:p>
            <w:pPr>
              <w:spacing w:after="0"/>
            </w:pPr>
            <w:r/>
            <w:r>
              <w:rPr>
                <w:rFonts w:ascii="Calibri" w:hAnsi="Calibri"/>
                <w:b w:val="0"/>
                <w:color w:val="17202A"/>
                <w:sz w:val="20"/>
              </w:rPr>
              <w:t>Mostra boletos vencidos que ainda não estão pagos.</w:t>
            </w:r>
          </w:p>
        </w:tc>
      </w:tr>
      <w:tr>
        <w:tc>
          <w:tcPr>
            <w:tcW w:type="dxa" w:w="2448"/>
            <w:vAlign w:val="center"/>
          </w:tcPr>
          <w:p>
            <w:pPr>
              <w:spacing w:after="0"/>
            </w:pPr>
            <w:r/>
            <w:r>
              <w:rPr>
                <w:rFonts w:ascii="Calibri" w:hAnsi="Calibri"/>
                <w:b w:val="0"/>
                <w:color w:val="17202A"/>
                <w:sz w:val="20"/>
              </w:rPr>
              <w:t>Sem AP</w:t>
            </w:r>
          </w:p>
        </w:tc>
        <w:tc>
          <w:tcPr>
            <w:tcW w:type="dxa" w:w="6912"/>
            <w:vAlign w:val="center"/>
          </w:tcPr>
          <w:p>
            <w:pPr>
              <w:spacing w:after="0"/>
            </w:pPr>
            <w:r/>
            <w:r>
              <w:rPr>
                <w:rFonts w:ascii="Calibri" w:hAnsi="Calibri"/>
                <w:b w:val="0"/>
                <w:color w:val="17202A"/>
                <w:sz w:val="20"/>
              </w:rPr>
              <w:t>Mostra boletos sem AP localizada.</w:t>
            </w:r>
          </w:p>
        </w:tc>
      </w:tr>
    </w:tbl>
    <w:p/>
    <w:p>
      <w:pPr>
        <w:keepNext/>
        <w:spacing w:before="240" w:after="100"/>
      </w:pPr>
      <w:r>
        <w:rPr>
          <w:rFonts w:ascii="Calibri" w:hAnsi="Calibri"/>
          <w:b/>
          <w:color w:val="1F4D78"/>
          <w:sz w:val="28"/>
        </w:rPr>
        <w:t>7. Financeiro</w:t>
      </w:r>
    </w:p>
    <w:p>
      <w:pPr>
        <w:spacing w:after="120" w:line="264" w:lineRule="auto"/>
      </w:pPr>
      <w:r>
        <w:rPr>
          <w:rFonts w:ascii="Calibri" w:hAnsi="Calibri"/>
          <w:color w:val="17202A"/>
          <w:sz w:val="22"/>
        </w:rPr>
        <w:t>A tela Financeiro ajuda a acompanhar boletos relacionados aos softwares. Ela mostra valores, vencimentos, fornecedor, filial, AP e status de pagamento.</w:t>
      </w:r>
    </w:p>
    <w:p>
      <w:pPr>
        <w:numPr>
          <w:ilvl w:val="0"/>
          <w:numId w:val="2"/>
        </w:numPr>
        <w:spacing w:after="60"/>
      </w:pPr>
      <w:r>
        <w:rPr>
          <w:rFonts w:ascii="Calibri" w:hAnsi="Calibri"/>
          <w:sz w:val="21"/>
        </w:rPr>
        <w:t>Boletos vencidos aparecem destacados em vermelho claro.</w:t>
      </w:r>
    </w:p>
    <w:p>
      <w:pPr>
        <w:numPr>
          <w:ilvl w:val="0"/>
          <w:numId w:val="2"/>
        </w:numPr>
        <w:spacing w:after="60"/>
      </w:pPr>
      <w:r>
        <w:rPr>
          <w:rFonts w:ascii="Calibri" w:hAnsi="Calibri"/>
          <w:sz w:val="21"/>
        </w:rPr>
        <w:t>Boletos que vencem em até 10 dias aparecem destacados em amarelo claro.</w:t>
      </w:r>
    </w:p>
    <w:p>
      <w:pPr>
        <w:numPr>
          <w:ilvl w:val="0"/>
          <w:numId w:val="2"/>
        </w:numPr>
        <w:spacing w:after="60"/>
      </w:pPr>
      <w:r>
        <w:rPr>
          <w:rFonts w:ascii="Calibri" w:hAnsi="Calibri"/>
          <w:sz w:val="21"/>
        </w:rPr>
        <w:t>Boletos pagos não são tratados como vencidos.</w:t>
      </w:r>
    </w:p>
    <w:p>
      <w:pPr>
        <w:numPr>
          <w:ilvl w:val="0"/>
          <w:numId w:val="2"/>
        </w:numPr>
        <w:spacing w:after="60"/>
      </w:pPr>
      <w:r>
        <w:rPr>
          <w:rFonts w:ascii="Calibri" w:hAnsi="Calibri"/>
          <w:sz w:val="21"/>
        </w:rPr>
        <w:t>A lista prioriza primeiro os vencidos, depois os próximos do vencimento.</w:t>
      </w:r>
    </w:p>
    <w:p>
      <w:pPr>
        <w:numPr>
          <w:ilvl w:val="0"/>
          <w:numId w:val="2"/>
        </w:numPr>
        <w:spacing w:after="60"/>
      </w:pPr>
      <w:r>
        <w:rPr>
          <w:rFonts w:ascii="Calibri" w:hAnsi="Calibri"/>
          <w:sz w:val="21"/>
        </w:rPr>
        <w:t>É possível buscar informações no MEGA pelo número da NF e código do fornecedor.</w:t>
      </w:r>
    </w:p>
    <w:p>
      <w:pPr>
        <w:keepNext/>
        <w:spacing w:before="240" w:after="100"/>
      </w:pPr>
      <w:r>
        <w:rPr>
          <w:rFonts w:ascii="Calibri" w:hAnsi="Calibri"/>
          <w:b/>
          <w:color w:val="1F4D78"/>
          <w:sz w:val="28"/>
        </w:rPr>
        <w:t>8. Importação de dados</w:t>
      </w:r>
    </w:p>
    <w:p>
      <w:pPr>
        <w:spacing w:after="120" w:line="264" w:lineRule="auto"/>
      </w:pPr>
      <w:r>
        <w:rPr>
          <w:rFonts w:ascii="Calibri" w:hAnsi="Calibri"/>
          <w:color w:val="17202A"/>
          <w:sz w:val="22"/>
        </w:rPr>
        <w:t>O sistema permite importar arquivos CSV para agilizar cadastros. Quando uma informação já existe, o sistema tenta atualizar o cadastro existente em vez de duplicar.</w:t>
      </w:r>
    </w:p>
    <w:tbl>
      <w:tblPr>
        <w:tblStyle w:val="Tabelacomgrade"/>
        <w:tblW w:type="auto" w:w="0"/>
        <w:jc w:val="left"/>
        <w:tblLayout w:type="fixed"/>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4455"/>
        <w:gridCol w:w="4455"/>
      </w:tblGrid>
      <w:tr>
        <w:tc>
          <w:tcPr>
            <w:tcW w:type="dxa" w:w="2160"/>
            <w:vAlign w:val="center"/>
            <w:shd w:fill="F2F4F7"/>
          </w:tcPr>
          <w:p>
            <w:pPr>
              <w:spacing w:after="0"/>
            </w:pPr>
            <w:r/>
            <w:r>
              <w:rPr>
                <w:rFonts w:ascii="Calibri" w:hAnsi="Calibri"/>
                <w:b/>
                <w:color w:val="1F4D78"/>
                <w:sz w:val="20"/>
              </w:rPr>
              <w:t>Importação</w:t>
            </w:r>
          </w:p>
        </w:tc>
        <w:tc>
          <w:tcPr>
            <w:tcW w:type="dxa" w:w="7200"/>
            <w:vAlign w:val="center"/>
            <w:shd w:fill="F2F4F7"/>
          </w:tcPr>
          <w:p>
            <w:pPr>
              <w:spacing w:after="0"/>
            </w:pPr>
            <w:r/>
            <w:r>
              <w:rPr>
                <w:rFonts w:ascii="Calibri" w:hAnsi="Calibri"/>
                <w:b/>
                <w:color w:val="1F4D78"/>
                <w:sz w:val="20"/>
              </w:rPr>
              <w:t>Uso</w:t>
            </w:r>
          </w:p>
        </w:tc>
      </w:tr>
      <w:tr>
        <w:tc>
          <w:tcPr>
            <w:tcW w:type="dxa" w:w="2160"/>
            <w:vAlign w:val="center"/>
          </w:tcPr>
          <w:p>
            <w:pPr>
              <w:spacing w:after="0"/>
            </w:pPr>
            <w:r/>
            <w:r>
              <w:rPr>
                <w:rFonts w:ascii="Calibri" w:hAnsi="Calibri"/>
                <w:b w:val="0"/>
                <w:color w:val="17202A"/>
                <w:sz w:val="20"/>
              </w:rPr>
              <w:t>Licenças</w:t>
            </w:r>
          </w:p>
        </w:tc>
        <w:tc>
          <w:tcPr>
            <w:tcW w:type="dxa" w:w="7200"/>
            <w:vAlign w:val="center"/>
          </w:tcPr>
          <w:p>
            <w:pPr>
              <w:spacing w:after="0"/>
            </w:pPr>
            <w:r/>
            <w:r>
              <w:rPr>
                <w:rFonts w:ascii="Calibri" w:hAnsi="Calibri"/>
                <w:b w:val="0"/>
                <w:color w:val="17202A"/>
                <w:sz w:val="20"/>
              </w:rPr>
              <w:t>Cadastrar ou atualizar softwares e chaves.</w:t>
            </w:r>
          </w:p>
        </w:tc>
      </w:tr>
      <w:tr>
        <w:tc>
          <w:tcPr>
            <w:tcW w:type="dxa" w:w="2160"/>
            <w:vAlign w:val="center"/>
          </w:tcPr>
          <w:p>
            <w:pPr>
              <w:spacing w:after="0"/>
            </w:pPr>
            <w:r/>
            <w:r>
              <w:rPr>
                <w:rFonts w:ascii="Calibri" w:hAnsi="Calibri"/>
                <w:b w:val="0"/>
                <w:color w:val="17202A"/>
                <w:sz w:val="20"/>
              </w:rPr>
              <w:t>Usuários</w:t>
            </w:r>
          </w:p>
        </w:tc>
        <w:tc>
          <w:tcPr>
            <w:tcW w:type="dxa" w:w="7200"/>
            <w:vAlign w:val="center"/>
          </w:tcPr>
          <w:p>
            <w:pPr>
              <w:spacing w:after="0"/>
            </w:pPr>
            <w:r/>
            <w:r>
              <w:rPr>
                <w:rFonts w:ascii="Calibri" w:hAnsi="Calibri"/>
                <w:b w:val="0"/>
                <w:color w:val="17202A"/>
                <w:sz w:val="20"/>
              </w:rPr>
              <w:t>Cadastrar ou atualizar usuários.</w:t>
            </w:r>
          </w:p>
        </w:tc>
      </w:tr>
      <w:tr>
        <w:tc>
          <w:tcPr>
            <w:tcW w:type="dxa" w:w="2160"/>
            <w:vAlign w:val="center"/>
          </w:tcPr>
          <w:p>
            <w:pPr>
              <w:spacing w:after="0"/>
            </w:pPr>
            <w:r/>
            <w:r>
              <w:rPr>
                <w:rFonts w:ascii="Calibri" w:hAnsi="Calibri"/>
                <w:b w:val="0"/>
                <w:color w:val="17202A"/>
                <w:sz w:val="20"/>
              </w:rPr>
              <w:t>Vínculos</w:t>
            </w:r>
          </w:p>
        </w:tc>
        <w:tc>
          <w:tcPr>
            <w:tcW w:type="dxa" w:w="7200"/>
            <w:vAlign w:val="center"/>
          </w:tcPr>
          <w:p>
            <w:pPr>
              <w:spacing w:after="0"/>
            </w:pPr>
            <w:r/>
            <w:r>
              <w:rPr>
                <w:rFonts w:ascii="Calibri" w:hAnsi="Calibri"/>
                <w:b w:val="0"/>
                <w:color w:val="17202A"/>
                <w:sz w:val="20"/>
              </w:rPr>
              <w:t>Relacionar usuários às licenças.</w:t>
            </w:r>
          </w:p>
        </w:tc>
      </w:tr>
      <w:tr>
        <w:tc>
          <w:tcPr>
            <w:tcW w:type="dxa" w:w="2160"/>
            <w:vAlign w:val="center"/>
          </w:tcPr>
          <w:p>
            <w:pPr>
              <w:spacing w:after="0"/>
            </w:pPr>
            <w:r/>
            <w:r>
              <w:rPr>
                <w:rFonts w:ascii="Calibri" w:hAnsi="Calibri"/>
                <w:b w:val="0"/>
                <w:color w:val="17202A"/>
                <w:sz w:val="20"/>
              </w:rPr>
              <w:t>Financeiro</w:t>
            </w:r>
          </w:p>
        </w:tc>
        <w:tc>
          <w:tcPr>
            <w:tcW w:type="dxa" w:w="7200"/>
            <w:vAlign w:val="center"/>
          </w:tcPr>
          <w:p>
            <w:pPr>
              <w:spacing w:after="0"/>
            </w:pPr>
            <w:r/>
            <w:r>
              <w:rPr>
                <w:rFonts w:ascii="Calibri" w:hAnsi="Calibri"/>
                <w:b w:val="0"/>
                <w:color w:val="17202A"/>
                <w:sz w:val="20"/>
              </w:rPr>
              <w:t>Cadastrar ou atualizar boletos.</w:t>
            </w:r>
          </w:p>
        </w:tc>
      </w:tr>
    </w:tbl>
    <w:p/>
    <w:p>
      <w:pPr>
        <w:keepNext/>
        <w:spacing w:before="240" w:after="100"/>
      </w:pPr>
      <w:r>
        <w:rPr>
          <w:rFonts w:ascii="Calibri" w:hAnsi="Calibri"/>
          <w:b/>
          <w:color w:val="1F4D78"/>
          <w:sz w:val="28"/>
        </w:rPr>
        <w:t>9. Alertas por e-mail</w:t>
      </w:r>
    </w:p>
    <w:p>
      <w:pPr>
        <w:spacing w:after="120" w:line="264" w:lineRule="auto"/>
      </w:pPr>
      <w:r>
        <w:rPr>
          <w:rFonts w:ascii="Calibri" w:hAnsi="Calibri"/>
          <w:color w:val="17202A"/>
          <w:sz w:val="22"/>
        </w:rPr>
        <w:t>O sistema pode enviar e-mails informando boletos vencidos ou com vencimento em até 10 dias, desde que estejam com status Aguardando Pagamento.</w:t>
      </w:r>
    </w:p>
    <w:p>
      <w:pPr>
        <w:numPr>
          <w:ilvl w:val="0"/>
          <w:numId w:val="2"/>
        </w:numPr>
        <w:spacing w:after="60"/>
      </w:pPr>
      <w:r>
        <w:rPr>
          <w:rFonts w:ascii="Calibri" w:hAnsi="Calibri"/>
          <w:sz w:val="21"/>
        </w:rPr>
        <w:t>O e-mail informa software, NF, AP, vencimento, status e prazo.</w:t>
      </w:r>
    </w:p>
    <w:p>
      <w:pPr>
        <w:numPr>
          <w:ilvl w:val="0"/>
          <w:numId w:val="2"/>
        </w:numPr>
        <w:spacing w:after="60"/>
      </w:pPr>
      <w:r>
        <w:rPr>
          <w:rFonts w:ascii="Calibri" w:hAnsi="Calibri"/>
          <w:sz w:val="21"/>
        </w:rPr>
        <w:t>O envio pode ser feito manualmente ou automaticamente em horário configurado.</w:t>
      </w:r>
    </w:p>
    <w:p>
      <w:pPr>
        <w:numPr>
          <w:ilvl w:val="0"/>
          <w:numId w:val="2"/>
        </w:numPr>
        <w:spacing w:after="60"/>
      </w:pPr>
      <w:r>
        <w:rPr>
          <w:rFonts w:ascii="Calibri" w:hAnsi="Calibri"/>
          <w:sz w:val="21"/>
        </w:rPr>
        <w:t>A configuração fica na tela Configurações e deve ser feita por um usuário Admin.</w:t>
      </w:r>
    </w:p>
    <w:p>
      <w:pPr>
        <w:keepNext/>
        <w:spacing w:before="240" w:after="100"/>
      </w:pPr>
      <w:r>
        <w:rPr>
          <w:rFonts w:ascii="Calibri" w:hAnsi="Calibri"/>
          <w:b/>
          <w:color w:val="1F4D78"/>
          <w:sz w:val="28"/>
        </w:rPr>
        <w:t>10. Boas práticas para usuários</w:t>
      </w:r>
    </w:p>
    <w:p>
      <w:pPr>
        <w:numPr>
          <w:ilvl w:val="0"/>
          <w:numId w:val="2"/>
        </w:numPr>
        <w:spacing w:after="60"/>
      </w:pPr>
      <w:r>
        <w:rPr>
          <w:rFonts w:ascii="Calibri" w:hAnsi="Calibri"/>
          <w:sz w:val="21"/>
        </w:rPr>
        <w:t>Antes de cadastrar, use a busca para verificar se o item já existe.</w:t>
      </w:r>
    </w:p>
    <w:p>
      <w:pPr>
        <w:numPr>
          <w:ilvl w:val="0"/>
          <w:numId w:val="2"/>
        </w:numPr>
        <w:spacing w:after="60"/>
      </w:pPr>
      <w:r>
        <w:rPr>
          <w:rFonts w:ascii="Calibri" w:hAnsi="Calibri"/>
          <w:sz w:val="21"/>
        </w:rPr>
        <w:t>Ao cadastrar boleto, informe NF e código do fornecedor para facilitar a busca no MEGA.</w:t>
      </w:r>
    </w:p>
    <w:p>
      <w:pPr>
        <w:numPr>
          <w:ilvl w:val="0"/>
          <w:numId w:val="2"/>
        </w:numPr>
        <w:spacing w:after="60"/>
      </w:pPr>
      <w:r>
        <w:rPr>
          <w:rFonts w:ascii="Calibri" w:hAnsi="Calibri"/>
          <w:sz w:val="21"/>
        </w:rPr>
        <w:t>Mantenha usuários e vínculos atualizados quando houver troca de responsável ou devolução de licença.</w:t>
      </w:r>
    </w:p>
    <w:p>
      <w:pPr>
        <w:numPr>
          <w:ilvl w:val="0"/>
          <w:numId w:val="2"/>
        </w:numPr>
        <w:spacing w:after="60"/>
      </w:pPr>
      <w:r>
        <w:rPr>
          <w:rFonts w:ascii="Calibri" w:hAnsi="Calibri"/>
          <w:sz w:val="21"/>
        </w:rPr>
        <w:t>Use os filtros do Financeiro para acompanhar vencimentos e status.</w:t>
      </w:r>
    </w:p>
    <w:p>
      <w:pPr>
        <w:numPr>
          <w:ilvl w:val="0"/>
          <w:numId w:val="2"/>
        </w:numPr>
        <w:spacing w:after="60"/>
      </w:pPr>
      <w:r>
        <w:rPr>
          <w:rFonts w:ascii="Calibri" w:hAnsi="Calibri"/>
          <w:sz w:val="21"/>
        </w:rPr>
        <w:t>Não compartilhe seu usuário e senha de acesso.</w:t>
      </w:r>
    </w:p>
    <w:p>
      <w:pPr>
        <w:keepNext/>
        <w:spacing w:before="240" w:after="100"/>
      </w:pPr>
      <w:r>
        <w:rPr>
          <w:rFonts w:ascii="Calibri" w:hAnsi="Calibri"/>
          <w:b/>
          <w:color w:val="1F4D78"/>
          <w:sz w:val="28"/>
        </w:rPr>
        <w:t>11. Quando pedir apoio</w:t>
      </w:r>
    </w:p>
    <w:tbl>
      <w:tblPr>
        <w:tblStyle w:val="Tabelacomgrade"/>
        <w:tblW w:type="auto" w:w="0"/>
        <w:jc w:val="left"/>
        <w:tblLayout w:type="fixed"/>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4455"/>
        <w:gridCol w:w="4455"/>
      </w:tblGrid>
      <w:tr>
        <w:tc>
          <w:tcPr>
            <w:tcW w:type="dxa" w:w="3168"/>
            <w:vAlign w:val="center"/>
            <w:shd w:fill="E8EEF5"/>
          </w:tcPr>
          <w:p>
            <w:pPr>
              <w:spacing w:after="0"/>
            </w:pPr>
            <w:r/>
            <w:r>
              <w:rPr>
                <w:rFonts w:ascii="Calibri" w:hAnsi="Calibri"/>
                <w:b/>
                <w:color w:val="1F4D78"/>
                <w:sz w:val="20"/>
              </w:rPr>
              <w:t>Situação</w:t>
            </w:r>
          </w:p>
        </w:tc>
        <w:tc>
          <w:tcPr>
            <w:tcW w:type="dxa" w:w="6192"/>
            <w:vAlign w:val="center"/>
            <w:shd w:fill="E8EEF5"/>
          </w:tcPr>
          <w:p>
            <w:pPr>
              <w:spacing w:after="0"/>
            </w:pPr>
            <w:r/>
            <w:r>
              <w:rPr>
                <w:rFonts w:ascii="Calibri" w:hAnsi="Calibri"/>
                <w:b/>
                <w:color w:val="1F4D78"/>
                <w:sz w:val="20"/>
              </w:rPr>
              <w:t>Quem acionar</w:t>
            </w:r>
          </w:p>
        </w:tc>
      </w:tr>
      <w:tr>
        <w:tc>
          <w:tcPr>
            <w:tcW w:type="dxa" w:w="3168"/>
            <w:vAlign w:val="center"/>
          </w:tcPr>
          <w:p>
            <w:pPr>
              <w:spacing w:after="0"/>
            </w:pPr>
            <w:r/>
            <w:r>
              <w:rPr>
                <w:rFonts w:ascii="Calibri" w:hAnsi="Calibri"/>
                <w:b w:val="0"/>
                <w:color w:val="17202A"/>
                <w:sz w:val="20"/>
              </w:rPr>
              <w:t>Não consigo acessar o sistema</w:t>
            </w:r>
          </w:p>
        </w:tc>
        <w:tc>
          <w:tcPr>
            <w:tcW w:type="dxa" w:w="6192"/>
            <w:vAlign w:val="center"/>
          </w:tcPr>
          <w:p>
            <w:pPr>
              <w:spacing w:after="0"/>
            </w:pPr>
            <w:r/>
            <w:r>
              <w:rPr>
                <w:rFonts w:ascii="Calibri" w:hAnsi="Calibri"/>
                <w:b w:val="0"/>
                <w:color w:val="17202A"/>
                <w:sz w:val="20"/>
              </w:rPr>
              <w:t>Projetos e Sistemas / TI.</w:t>
            </w:r>
          </w:p>
        </w:tc>
      </w:tr>
      <w:tr>
        <w:tc>
          <w:tcPr>
            <w:tcW w:type="dxa" w:w="3168"/>
            <w:vAlign w:val="center"/>
          </w:tcPr>
          <w:p>
            <w:pPr>
              <w:spacing w:after="0"/>
            </w:pPr>
            <w:r/>
            <w:r>
              <w:rPr>
                <w:rFonts w:ascii="Calibri" w:hAnsi="Calibri"/>
                <w:b w:val="0"/>
                <w:color w:val="17202A"/>
                <w:sz w:val="20"/>
              </w:rPr>
              <w:t>Preciso de permissão Admin</w:t>
            </w:r>
          </w:p>
        </w:tc>
        <w:tc>
          <w:tcPr>
            <w:tcW w:type="dxa" w:w="6192"/>
            <w:vAlign w:val="center"/>
          </w:tcPr>
          <w:p>
            <w:pPr>
              <w:spacing w:after="0"/>
            </w:pPr>
            <w:r/>
            <w:r>
              <w:rPr>
                <w:rFonts w:ascii="Calibri" w:hAnsi="Calibri"/>
                <w:b w:val="0"/>
                <w:color w:val="17202A"/>
                <w:sz w:val="20"/>
              </w:rPr>
              <w:t>Responsável pelo sistema.</w:t>
            </w:r>
          </w:p>
        </w:tc>
      </w:tr>
      <w:tr>
        <w:tc>
          <w:tcPr>
            <w:tcW w:type="dxa" w:w="3168"/>
            <w:vAlign w:val="center"/>
          </w:tcPr>
          <w:p>
            <w:pPr>
              <w:spacing w:after="0"/>
            </w:pPr>
            <w:r/>
            <w:r>
              <w:rPr>
                <w:rFonts w:ascii="Calibri" w:hAnsi="Calibri"/>
                <w:b w:val="0"/>
                <w:color w:val="17202A"/>
                <w:sz w:val="20"/>
              </w:rPr>
              <w:t>Boleto não trouxe AP do MEGA</w:t>
            </w:r>
          </w:p>
        </w:tc>
        <w:tc>
          <w:tcPr>
            <w:tcW w:type="dxa" w:w="6192"/>
            <w:vAlign w:val="center"/>
          </w:tcPr>
          <w:p>
            <w:pPr>
              <w:spacing w:after="0"/>
            </w:pPr>
            <w:r/>
            <w:r>
              <w:rPr>
                <w:rFonts w:ascii="Calibri" w:hAnsi="Calibri"/>
                <w:b w:val="0"/>
                <w:color w:val="17202A"/>
                <w:sz w:val="20"/>
              </w:rPr>
              <w:t>Validar NF e código fornecedor; se persistir, acionar Projetos e Sistemas.</w:t>
            </w:r>
          </w:p>
        </w:tc>
      </w:tr>
      <w:tr>
        <w:tc>
          <w:tcPr>
            <w:tcW w:type="dxa" w:w="3168"/>
            <w:vAlign w:val="center"/>
          </w:tcPr>
          <w:p>
            <w:pPr>
              <w:spacing w:after="0"/>
            </w:pPr>
            <w:r/>
            <w:r>
              <w:rPr>
                <w:rFonts w:ascii="Calibri" w:hAnsi="Calibri"/>
                <w:b w:val="0"/>
                <w:color w:val="17202A"/>
                <w:sz w:val="20"/>
              </w:rPr>
              <w:t>Informação incorreta no cadastro</w:t>
            </w:r>
          </w:p>
        </w:tc>
        <w:tc>
          <w:tcPr>
            <w:tcW w:type="dxa" w:w="6192"/>
            <w:vAlign w:val="center"/>
          </w:tcPr>
          <w:p>
            <w:pPr>
              <w:spacing w:after="0"/>
            </w:pPr>
            <w:r/>
            <w:r>
              <w:rPr>
                <w:rFonts w:ascii="Calibri" w:hAnsi="Calibri"/>
                <w:b w:val="0"/>
                <w:color w:val="17202A"/>
                <w:sz w:val="20"/>
              </w:rPr>
              <w:t>Usuário Admin responsável pela manutenção do sistema.</w:t>
            </w:r>
          </w:p>
        </w:tc>
      </w:tr>
      <w:tr>
        <w:tc>
          <w:tcPr>
            <w:tcW w:type="dxa" w:w="3168"/>
            <w:vAlign w:val="center"/>
          </w:tcPr>
          <w:p>
            <w:pPr>
              <w:spacing w:after="0"/>
            </w:pPr>
            <w:r/>
            <w:r>
              <w:rPr>
                <w:rFonts w:ascii="Calibri" w:hAnsi="Calibri"/>
                <w:b w:val="0"/>
                <w:color w:val="17202A"/>
                <w:sz w:val="20"/>
              </w:rPr>
              <w:t>Erro ao importar CSV</w:t>
            </w:r>
          </w:p>
        </w:tc>
        <w:tc>
          <w:tcPr>
            <w:tcW w:type="dxa" w:w="6192"/>
            <w:vAlign w:val="center"/>
          </w:tcPr>
          <w:p>
            <w:pPr>
              <w:spacing w:after="0"/>
            </w:pPr>
            <w:r/>
            <w:r>
              <w:rPr>
                <w:rFonts w:ascii="Calibri" w:hAnsi="Calibri"/>
                <w:b w:val="0"/>
                <w:color w:val="17202A"/>
                <w:sz w:val="20"/>
              </w:rPr>
              <w:t>Conferir modelo de importação ou acionar suporte interno.</w:t>
            </w:r>
          </w:p>
        </w:tc>
      </w:tr>
    </w:tbl>
    <w:p/>
    <w:tbl>
      <w:tblPr>
        <w:tblW w:type="auto" w:w="0"/>
        <w:tblLook w:firstColumn="1" w:firstRow="1" w:lastColumn="0" w:lastRow="0" w:noHBand="0" w:noVBand="1" w:val="04A0"/>
        <w:tblBorders>
          <w:top w:val="single" w:sz="6" w:space="0" w:color="AAB5C4"/>
          <w:left w:val="single" w:sz="6" w:space="0" w:color="AAB5C4"/>
          <w:bottom w:val="single" w:sz="6" w:space="0" w:color="AAB5C4"/>
          <w:right w:val="single" w:sz="6" w:space="0" w:color="AAB5C4"/>
          <w:insideH w:val="single" w:sz="6" w:space="0" w:color="AAB5C4"/>
          <w:insideV w:val="single" w:sz="6" w:space="0" w:color="AAB5C4"/>
        </w:tblBorders>
      </w:tblPr>
      <w:tblGrid>
        <w:gridCol w:w="8911"/>
      </w:tblGrid>
      <w:tr>
        <w:tc>
          <w:tcPr>
            <w:tcW w:type="dxa" w:w="8911"/>
            <w:shd w:fill="F4F6F9"/>
            <w:vAlign w:val="center"/>
          </w:tcPr>
          <w:p>
            <w:pPr>
              <w:spacing w:after="0"/>
            </w:pPr>
            <w:r/>
            <w:r>
              <w:rPr>
                <w:rFonts w:ascii="Calibri" w:hAnsi="Calibri"/>
                <w:b/>
                <w:color w:val="1F4D78"/>
                <w:sz w:val="20"/>
              </w:rPr>
              <w:t>Resumo final: o sistema deve ser usado como fonte central para consultar licenças, usuários, vínculos e boletos de softwares.</w:t>
            </w:r>
          </w:p>
        </w:tc>
      </w:tr>
    </w:tbl>
    <w:p/>
    <w:sectPr w:rsidR="007D34BE" w:rsidRPr="004539B4" w:rsidSect="00703963">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55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E271" w14:textId="77777777" w:rsidR="002A1293" w:rsidRDefault="002A1293" w:rsidP="00087AEB">
      <w:pPr>
        <w:spacing w:after="0" w:line="240" w:lineRule="auto"/>
      </w:pPr>
      <w:r>
        <w:separator/>
      </w:r>
    </w:p>
  </w:endnote>
  <w:endnote w:type="continuationSeparator" w:id="0">
    <w:p w14:paraId="42861B9E" w14:textId="77777777" w:rsidR="002A1293" w:rsidRDefault="002A1293" w:rsidP="00087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FC8E" w14:textId="77777777" w:rsidR="007D34BE" w:rsidRDefault="007D34B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jc w:val="center"/>
      <w:tblLook w:val="04A0" w:firstRow="1" w:lastRow="0" w:firstColumn="1" w:lastColumn="0" w:noHBand="0" w:noVBand="1"/>
    </w:tblPr>
    <w:tblGrid>
      <w:gridCol w:w="2123"/>
      <w:gridCol w:w="2123"/>
      <w:gridCol w:w="2412"/>
      <w:gridCol w:w="1836"/>
    </w:tblGrid>
    <w:tr w:rsidR="00C8466A" w:rsidRPr="0051604B" w14:paraId="16D83FBB" w14:textId="77777777" w:rsidTr="00C712B4">
      <w:trPr>
        <w:jc w:val="center"/>
      </w:trPr>
      <w:tc>
        <w:tcPr>
          <w:tcW w:w="2123" w:type="dxa"/>
        </w:tcPr>
        <w:p w14:paraId="43BA6670" w14:textId="77777777" w:rsidR="00C8466A" w:rsidRPr="000B6C8F" w:rsidRDefault="00C8466A" w:rsidP="00C712B4">
          <w:pPr>
            <w:pStyle w:val="Rodap"/>
            <w:jc w:val="center"/>
            <w:rPr>
              <w:b/>
              <w:bCs/>
              <w:sz w:val="16"/>
              <w:szCs w:val="16"/>
            </w:rPr>
          </w:pPr>
          <w:r w:rsidRPr="000B6C8F">
            <w:rPr>
              <w:b/>
              <w:bCs/>
              <w:sz w:val="16"/>
              <w:szCs w:val="16"/>
            </w:rPr>
            <w:t>Elaborado por:</w:t>
          </w:r>
        </w:p>
        <w:p w14:paraId="60F8BCBD" w14:textId="24203410" w:rsidR="00BC7FC5" w:rsidRPr="000B6C8F" w:rsidRDefault="007D34BE" w:rsidP="00BC7FC5">
          <w:pPr>
            <w:pStyle w:val="Rodap"/>
            <w:jc w:val="center"/>
            <w:rPr>
              <w:sz w:val="16"/>
              <w:szCs w:val="16"/>
            </w:rPr>
          </w:pPr>
          <w:r>
            <w:rPr>
              <w:sz w:val="16"/>
              <w:szCs w:val="16"/>
            </w:rPr>
            <w:t>Gean Martins</w:t>
          </w:r>
        </w:p>
      </w:tc>
      <w:tc>
        <w:tcPr>
          <w:tcW w:w="2123" w:type="dxa"/>
        </w:tcPr>
        <w:p w14:paraId="416D87A3" w14:textId="77777777" w:rsidR="00C8466A" w:rsidRPr="000B6C8F" w:rsidRDefault="00C8466A" w:rsidP="00C712B4">
          <w:pPr>
            <w:pStyle w:val="Rodap"/>
            <w:jc w:val="center"/>
            <w:rPr>
              <w:b/>
              <w:bCs/>
              <w:sz w:val="16"/>
              <w:szCs w:val="16"/>
            </w:rPr>
          </w:pPr>
          <w:r w:rsidRPr="000B6C8F">
            <w:rPr>
              <w:b/>
              <w:bCs/>
              <w:sz w:val="16"/>
              <w:szCs w:val="16"/>
            </w:rPr>
            <w:t>Revisado por:</w:t>
          </w:r>
        </w:p>
        <w:p w14:paraId="21F93E0D" w14:textId="270DB903" w:rsidR="00C8466A" w:rsidRPr="000B6C8F" w:rsidRDefault="00C8466A" w:rsidP="00C712B4">
          <w:pPr>
            <w:pStyle w:val="Rodap"/>
            <w:jc w:val="center"/>
            <w:rPr>
              <w:sz w:val="16"/>
              <w:szCs w:val="16"/>
            </w:rPr>
          </w:pPr>
        </w:p>
      </w:tc>
      <w:tc>
        <w:tcPr>
          <w:tcW w:w="2412" w:type="dxa"/>
        </w:tcPr>
        <w:p w14:paraId="71CE3749" w14:textId="77777777" w:rsidR="00C8466A" w:rsidRPr="000B6C8F" w:rsidRDefault="00C8466A" w:rsidP="00C712B4">
          <w:pPr>
            <w:pStyle w:val="Rodap"/>
            <w:jc w:val="center"/>
            <w:rPr>
              <w:b/>
              <w:bCs/>
              <w:sz w:val="16"/>
              <w:szCs w:val="16"/>
            </w:rPr>
          </w:pPr>
          <w:r w:rsidRPr="000B6C8F">
            <w:rPr>
              <w:b/>
              <w:bCs/>
              <w:sz w:val="16"/>
              <w:szCs w:val="16"/>
            </w:rPr>
            <w:t>Aprovado por:</w:t>
          </w:r>
        </w:p>
        <w:p w14:paraId="0F2BDF10" w14:textId="77777777" w:rsidR="00C8466A" w:rsidRPr="000B6C8F" w:rsidRDefault="00C8466A" w:rsidP="00C712B4">
          <w:pPr>
            <w:pStyle w:val="Rodap"/>
            <w:jc w:val="center"/>
            <w:rPr>
              <w:sz w:val="16"/>
              <w:szCs w:val="16"/>
            </w:rPr>
          </w:pPr>
          <w:r w:rsidRPr="00C8466A">
            <w:rPr>
              <w:sz w:val="16"/>
              <w:szCs w:val="16"/>
              <w:highlight w:val="yellow"/>
            </w:rPr>
            <w:t>XXX</w:t>
          </w:r>
        </w:p>
      </w:tc>
      <w:tc>
        <w:tcPr>
          <w:tcW w:w="1836" w:type="dxa"/>
        </w:tcPr>
        <w:p w14:paraId="21191FE3" w14:textId="77777777" w:rsidR="00C8466A" w:rsidRPr="000B6C8F" w:rsidRDefault="00C8466A" w:rsidP="00C712B4">
          <w:pPr>
            <w:pStyle w:val="Rodap"/>
            <w:jc w:val="center"/>
            <w:rPr>
              <w:b/>
              <w:bCs/>
              <w:sz w:val="16"/>
              <w:szCs w:val="16"/>
            </w:rPr>
          </w:pPr>
          <w:r w:rsidRPr="4F38CA8A">
            <w:rPr>
              <w:b/>
              <w:bCs/>
              <w:sz w:val="16"/>
              <w:szCs w:val="16"/>
            </w:rPr>
            <w:t>Data de Aprovação:</w:t>
          </w:r>
        </w:p>
        <w:p w14:paraId="5BE90E58" w14:textId="77777777" w:rsidR="00C8466A" w:rsidRPr="000B6C8F" w:rsidRDefault="00C8466A" w:rsidP="00C712B4">
          <w:pPr>
            <w:pStyle w:val="Rodap"/>
            <w:jc w:val="center"/>
            <w:rPr>
              <w:sz w:val="16"/>
              <w:szCs w:val="16"/>
              <w:highlight w:val="yellow"/>
            </w:rPr>
          </w:pPr>
          <w:r>
            <w:rPr>
              <w:sz w:val="16"/>
              <w:szCs w:val="16"/>
              <w:highlight w:val="yellow"/>
            </w:rPr>
            <w:t>XXX</w:t>
          </w:r>
        </w:p>
      </w:tc>
    </w:tr>
  </w:tbl>
  <w:p w14:paraId="0111A2C8" w14:textId="77777777" w:rsidR="00C8466A" w:rsidRDefault="00C8466A">
    <w:pPr>
      <w:pStyle w:val="Rodap"/>
    </w:pPr>
    <w:r>
      <w:rPr>
        <w:noProof/>
        <w:lang w:eastAsia="pt-BR"/>
      </w:rPr>
      <mc:AlternateContent>
        <mc:Choice Requires="wps">
          <w:drawing>
            <wp:anchor distT="0" distB="0" distL="114300" distR="114300" simplePos="0" relativeHeight="251661312" behindDoc="0" locked="0" layoutInCell="1" allowOverlap="1" wp14:anchorId="54F92C29" wp14:editId="761FF722">
              <wp:simplePos x="0" y="0"/>
              <wp:positionH relativeFrom="page">
                <wp:align>left</wp:align>
              </wp:positionH>
              <wp:positionV relativeFrom="paragraph">
                <wp:posOffset>264251</wp:posOffset>
              </wp:positionV>
              <wp:extent cx="7621905" cy="349857"/>
              <wp:effectExtent l="0" t="0" r="17145" b="12700"/>
              <wp:wrapNone/>
              <wp:docPr id="7" name="Retângulo 7"/>
              <wp:cNvGraphicFramePr/>
              <a:graphic xmlns:a="http://schemas.openxmlformats.org/drawingml/2006/main">
                <a:graphicData uri="http://schemas.microsoft.com/office/word/2010/wordprocessingShape">
                  <wps:wsp>
                    <wps:cNvSpPr/>
                    <wps:spPr>
                      <a:xfrm>
                        <a:off x="0" y="0"/>
                        <a:ext cx="7621905" cy="349857"/>
                      </a:xfrm>
                      <a:prstGeom prst="rect">
                        <a:avLst/>
                      </a:prstGeom>
                      <a:solidFill>
                        <a:srgbClr val="F12B2B"/>
                      </a:solidFill>
                      <a:ln>
                        <a:solidFill>
                          <a:srgbClr val="F12B2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812549C" id="Retângulo 7" o:spid="_x0000_s1026" style="position:absolute;margin-left:0;margin-top:20.8pt;width:600.15pt;height:27.55pt;z-index:25166131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" fillcolor="#f12b2b" strokecolor="#f12b2b" strokeweight="1pt">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2F032" w14:textId="77777777" w:rsidR="007D34BE" w:rsidRDefault="007D34B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70DD8" w14:textId="77777777" w:rsidR="002A1293" w:rsidRDefault="002A1293" w:rsidP="00087AEB">
      <w:pPr>
        <w:spacing w:after="0" w:line="240" w:lineRule="auto"/>
      </w:pPr>
      <w:r>
        <w:separator/>
      </w:r>
    </w:p>
  </w:footnote>
  <w:footnote w:type="continuationSeparator" w:id="0">
    <w:p w14:paraId="7A243BA2" w14:textId="77777777" w:rsidR="002A1293" w:rsidRDefault="002A1293" w:rsidP="00087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8EE8" w14:textId="77777777" w:rsidR="007D34BE" w:rsidRDefault="007D34B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0157" w:type="dxa"/>
      <w:tblInd w:w="-570" w:type="dxa"/>
      <w:tblLayout w:type="fixed"/>
      <w:tblLook w:val="04A0" w:firstRow="1" w:lastRow="0" w:firstColumn="1" w:lastColumn="0" w:noHBand="0" w:noVBand="1"/>
    </w:tblPr>
    <w:tblGrid>
      <w:gridCol w:w="1699"/>
      <w:gridCol w:w="2008"/>
      <w:gridCol w:w="1787"/>
      <w:gridCol w:w="1308"/>
      <w:gridCol w:w="3355"/>
    </w:tblGrid>
    <w:tr w:rsidR="00703963" w:rsidRPr="00E35FB1" w14:paraId="68F5E8EE" w14:textId="77777777" w:rsidTr="00087AEB">
      <w:trPr>
        <w:trHeight w:val="300"/>
      </w:trPr>
      <w:tc>
        <w:tcPr>
          <w:tcW w:w="1699" w:type="dxa"/>
          <w:noWrap/>
          <w:hideMark/>
        </w:tcPr>
        <w:p w14:paraId="018DD7AE" w14:textId="77777777" w:rsidR="00703963" w:rsidRPr="00A87049" w:rsidRDefault="00703963" w:rsidP="00087AEB">
          <w:pPr>
            <w:jc w:val="center"/>
            <w:rPr>
              <w:rFonts w:cstheme="minorHAnsi"/>
              <w:sz w:val="18"/>
              <w:szCs w:val="18"/>
            </w:rPr>
          </w:pPr>
          <w:r w:rsidRPr="00A87049">
            <w:rPr>
              <w:rFonts w:cstheme="minorHAnsi"/>
              <w:sz w:val="18"/>
              <w:szCs w:val="18"/>
            </w:rPr>
            <w:t>Tipo de Documento:</w:t>
          </w:r>
        </w:p>
      </w:tc>
      <w:tc>
        <w:tcPr>
          <w:tcW w:w="3795" w:type="dxa"/>
          <w:gridSpan w:val="2"/>
          <w:noWrap/>
          <w:hideMark/>
        </w:tcPr>
        <w:p w14:paraId="3997D912" w14:textId="4C8CB402" w:rsidR="00703963" w:rsidRPr="00A87049" w:rsidRDefault="003E19C9" w:rsidP="002923D5">
          <w:pPr>
            <w:tabs>
              <w:tab w:val="center" w:pos="2712"/>
              <w:tab w:val="left" w:pos="3613"/>
            </w:tabs>
            <w:spacing w:before="120"/>
            <w:jc w:val="center"/>
            <w:rPr>
              <w:rFonts w:cstheme="minorHAnsi"/>
              <w:b/>
              <w:bCs/>
              <w:sz w:val="18"/>
              <w:szCs w:val="18"/>
            </w:rPr>
          </w:pPr>
          <w:r>
            <w:rPr>
              <w:rFonts w:cstheme="minorHAnsi"/>
              <w:b/>
              <w:bCs/>
              <w:sz w:val="18"/>
              <w:szCs w:val="18"/>
            </w:rPr>
            <w:t>ESCOPO DE PROJETOS</w:t>
          </w:r>
        </w:p>
      </w:tc>
      <w:tc>
        <w:tcPr>
          <w:tcW w:w="1308" w:type="dxa"/>
          <w:hideMark/>
        </w:tcPr>
        <w:p w14:paraId="116F5D7C" w14:textId="52DCAE63" w:rsidR="00703963" w:rsidRPr="00A87049" w:rsidRDefault="00703963" w:rsidP="002923D5">
          <w:pPr>
            <w:spacing w:before="120"/>
            <w:jc w:val="center"/>
            <w:rPr>
              <w:rFonts w:cstheme="minorHAnsi"/>
              <w:sz w:val="18"/>
              <w:szCs w:val="18"/>
            </w:rPr>
          </w:pPr>
          <w:r w:rsidRPr="00A87049">
            <w:rPr>
              <w:rFonts w:cstheme="minorHAnsi"/>
              <w:sz w:val="18"/>
              <w:szCs w:val="18"/>
            </w:rPr>
            <w:t xml:space="preserve">Nº: </w:t>
          </w:r>
          <w:r w:rsidR="003E19C9">
            <w:rPr>
              <w:rFonts w:cstheme="minorHAnsi"/>
              <w:b/>
              <w:bCs/>
              <w:sz w:val="18"/>
              <w:szCs w:val="18"/>
            </w:rPr>
            <w:t>01</w:t>
          </w:r>
        </w:p>
      </w:tc>
      <w:tc>
        <w:tcPr>
          <w:tcW w:w="3355" w:type="dxa"/>
          <w:vMerge w:val="restart"/>
        </w:tcPr>
        <w:p w14:paraId="78622A19" w14:textId="77777777" w:rsidR="00703963" w:rsidRPr="6F8ED8C7" w:rsidRDefault="00703963" w:rsidP="00087AEB">
          <w:pPr>
            <w:jc w:val="center"/>
            <w:rPr>
              <w:rFonts w:ascii="Arial" w:hAnsi="Arial" w:cs="Arial"/>
              <w:sz w:val="18"/>
              <w:szCs w:val="18"/>
            </w:rPr>
          </w:pPr>
          <w:r>
            <w:rPr>
              <w:noProof/>
              <w:lang w:eastAsia="pt-BR"/>
            </w:rPr>
            <w:drawing>
              <wp:inline distT="0" distB="0" distL="0" distR="0" wp14:anchorId="05828910" wp14:editId="7BD0CC01">
                <wp:extent cx="2053421" cy="1248355"/>
                <wp:effectExtent l="0" t="0" r="4445" b="9525"/>
                <wp:docPr id="6" name="Imagem 6" descr="C:\Users\bruna.ribeiro\Downloads\LOGO_GRUPO_GADEN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una.ribeiro\Downloads\LOGO_GRUPO_GADENS (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8322" cy="1269573"/>
                        </a:xfrm>
                        <a:prstGeom prst="rect">
                          <a:avLst/>
                        </a:prstGeom>
                        <a:noFill/>
                        <a:ln>
                          <a:noFill/>
                        </a:ln>
                      </pic:spPr>
                    </pic:pic>
                  </a:graphicData>
                </a:graphic>
              </wp:inline>
            </w:drawing>
          </w:r>
        </w:p>
      </w:tc>
    </w:tr>
    <w:tr w:rsidR="00703963" w:rsidRPr="00E35FB1" w14:paraId="6146C7B1" w14:textId="77777777" w:rsidTr="00087AEB">
      <w:trPr>
        <w:trHeight w:val="378"/>
      </w:trPr>
      <w:tc>
        <w:tcPr>
          <w:tcW w:w="1699" w:type="dxa"/>
          <w:vMerge w:val="restart"/>
          <w:noWrap/>
          <w:hideMark/>
        </w:tcPr>
        <w:p w14:paraId="3CF5E95F" w14:textId="77777777" w:rsidR="00703963" w:rsidRPr="00A87049" w:rsidRDefault="00703963" w:rsidP="00087AEB">
          <w:pPr>
            <w:jc w:val="center"/>
            <w:rPr>
              <w:rFonts w:cstheme="minorHAnsi"/>
              <w:sz w:val="18"/>
              <w:szCs w:val="18"/>
            </w:rPr>
          </w:pPr>
        </w:p>
        <w:p w14:paraId="4106C577" w14:textId="77777777" w:rsidR="00703963" w:rsidRPr="00A87049" w:rsidRDefault="00703963" w:rsidP="00087AEB">
          <w:pPr>
            <w:jc w:val="center"/>
            <w:rPr>
              <w:rFonts w:cstheme="minorHAnsi"/>
              <w:sz w:val="18"/>
              <w:szCs w:val="18"/>
            </w:rPr>
          </w:pPr>
          <w:r w:rsidRPr="00A87049">
            <w:rPr>
              <w:rFonts w:cstheme="minorHAnsi"/>
              <w:sz w:val="18"/>
              <w:szCs w:val="18"/>
            </w:rPr>
            <w:t>Título do Documento:</w:t>
          </w:r>
        </w:p>
      </w:tc>
      <w:tc>
        <w:tcPr>
          <w:tcW w:w="3795" w:type="dxa"/>
          <w:gridSpan w:val="2"/>
          <w:vMerge w:val="restart"/>
          <w:noWrap/>
          <w:hideMark/>
        </w:tcPr>
        <w:p w14:paraId="3BD24BE9" w14:textId="77777777" w:rsidR="00703963" w:rsidRPr="00A87049" w:rsidRDefault="00703963" w:rsidP="00087AEB">
          <w:pPr>
            <w:jc w:val="center"/>
            <w:rPr>
              <w:rFonts w:cstheme="minorHAnsi"/>
              <w:b/>
              <w:bCs/>
              <w:sz w:val="18"/>
              <w:szCs w:val="18"/>
            </w:rPr>
          </w:pPr>
        </w:p>
        <w:p w14:paraId="0DB6EFC8" w14:textId="046DCBD5" w:rsidR="00703963" w:rsidRPr="00A87049" w:rsidRDefault="007D34BE" w:rsidP="00167522">
          <w:pPr>
            <w:jc w:val="center"/>
            <w:rPr>
              <w:rFonts w:cstheme="minorHAnsi"/>
              <w:b/>
              <w:bCs/>
              <w:sz w:val="18"/>
              <w:szCs w:val="18"/>
            </w:rPr>
          </w:pPr>
          <w:r>
            <w:rPr>
              <w:rFonts w:cstheme="minorHAnsi"/>
              <w:b/>
              <w:bCs/>
              <w:sz w:val="18"/>
              <w:szCs w:val="18"/>
            </w:rPr>
            <w:t>Sistema de Financeiro e Controle de Licenças</w:t>
          </w:r>
        </w:p>
      </w:tc>
      <w:tc>
        <w:tcPr>
          <w:tcW w:w="1308" w:type="dxa"/>
          <w:hideMark/>
        </w:tcPr>
        <w:p w14:paraId="3E197FBB" w14:textId="17545950" w:rsidR="00703963" w:rsidRPr="00A87049" w:rsidRDefault="00703963" w:rsidP="00087AEB">
          <w:pPr>
            <w:jc w:val="center"/>
            <w:rPr>
              <w:rFonts w:cstheme="minorHAnsi"/>
              <w:b/>
              <w:bCs/>
              <w:sz w:val="18"/>
              <w:szCs w:val="18"/>
            </w:rPr>
          </w:pPr>
          <w:r w:rsidRPr="00A87049">
            <w:rPr>
              <w:rFonts w:cstheme="minorHAnsi"/>
              <w:b/>
              <w:bCs/>
              <w:sz w:val="18"/>
              <w:szCs w:val="18"/>
            </w:rPr>
            <w:t xml:space="preserve">Aprovação: </w:t>
          </w:r>
        </w:p>
      </w:tc>
      <w:tc>
        <w:tcPr>
          <w:tcW w:w="3355" w:type="dxa"/>
          <w:vMerge/>
        </w:tcPr>
        <w:p w14:paraId="73460BFC" w14:textId="77777777" w:rsidR="00703963" w:rsidRPr="4F38CA8A" w:rsidRDefault="00703963" w:rsidP="00087AEB">
          <w:pPr>
            <w:jc w:val="center"/>
            <w:rPr>
              <w:rFonts w:ascii="Arial" w:hAnsi="Arial" w:cs="Arial"/>
              <w:b/>
              <w:bCs/>
              <w:sz w:val="18"/>
              <w:szCs w:val="18"/>
            </w:rPr>
          </w:pPr>
        </w:p>
      </w:tc>
    </w:tr>
    <w:tr w:rsidR="00703963" w:rsidRPr="00E35FB1" w14:paraId="326437D2" w14:textId="77777777" w:rsidTr="00087AEB">
      <w:trPr>
        <w:trHeight w:val="428"/>
      </w:trPr>
      <w:tc>
        <w:tcPr>
          <w:tcW w:w="1699" w:type="dxa"/>
          <w:vMerge/>
          <w:hideMark/>
        </w:tcPr>
        <w:p w14:paraId="7367C8F5" w14:textId="77777777" w:rsidR="00703963" w:rsidRPr="00A87049" w:rsidRDefault="00703963" w:rsidP="00087AEB">
          <w:pPr>
            <w:jc w:val="center"/>
            <w:rPr>
              <w:rFonts w:cstheme="minorHAnsi"/>
              <w:sz w:val="18"/>
              <w:szCs w:val="18"/>
            </w:rPr>
          </w:pPr>
        </w:p>
      </w:tc>
      <w:tc>
        <w:tcPr>
          <w:tcW w:w="3795" w:type="dxa"/>
          <w:gridSpan w:val="2"/>
          <w:vMerge/>
          <w:hideMark/>
        </w:tcPr>
        <w:p w14:paraId="6F956247" w14:textId="77777777" w:rsidR="00703963" w:rsidRPr="00A87049" w:rsidRDefault="00703963" w:rsidP="00087AEB">
          <w:pPr>
            <w:jc w:val="center"/>
            <w:rPr>
              <w:rFonts w:cstheme="minorHAnsi"/>
              <w:b/>
              <w:bCs/>
              <w:sz w:val="18"/>
              <w:szCs w:val="18"/>
            </w:rPr>
          </w:pPr>
        </w:p>
      </w:tc>
      <w:tc>
        <w:tcPr>
          <w:tcW w:w="1308" w:type="dxa"/>
          <w:hideMark/>
        </w:tcPr>
        <w:p w14:paraId="50E8209F" w14:textId="693B94D4" w:rsidR="00703963" w:rsidRPr="00A87049" w:rsidRDefault="00703963" w:rsidP="00087AEB">
          <w:pPr>
            <w:jc w:val="center"/>
            <w:rPr>
              <w:rFonts w:cstheme="minorHAnsi"/>
              <w:b/>
              <w:bCs/>
              <w:sz w:val="18"/>
              <w:szCs w:val="18"/>
            </w:rPr>
          </w:pPr>
          <w:r w:rsidRPr="00A87049">
            <w:rPr>
              <w:rFonts w:cstheme="minorHAnsi"/>
              <w:b/>
              <w:bCs/>
              <w:sz w:val="18"/>
              <w:szCs w:val="18"/>
            </w:rPr>
            <w:t xml:space="preserve">Próxima revisão: </w:t>
          </w:r>
        </w:p>
      </w:tc>
      <w:tc>
        <w:tcPr>
          <w:tcW w:w="3355" w:type="dxa"/>
          <w:vMerge/>
        </w:tcPr>
        <w:p w14:paraId="74386414" w14:textId="77777777" w:rsidR="00703963" w:rsidRPr="4F38CA8A" w:rsidRDefault="00703963" w:rsidP="00087AEB">
          <w:pPr>
            <w:jc w:val="center"/>
            <w:rPr>
              <w:rFonts w:ascii="Arial" w:hAnsi="Arial" w:cs="Arial"/>
              <w:b/>
              <w:bCs/>
              <w:sz w:val="18"/>
              <w:szCs w:val="18"/>
            </w:rPr>
          </w:pPr>
        </w:p>
      </w:tc>
    </w:tr>
    <w:tr w:rsidR="00703963" w:rsidRPr="00E35FB1" w14:paraId="40AC3BC8" w14:textId="77777777" w:rsidTr="00087AEB">
      <w:trPr>
        <w:trHeight w:val="300"/>
      </w:trPr>
      <w:tc>
        <w:tcPr>
          <w:tcW w:w="1699" w:type="dxa"/>
          <w:noWrap/>
          <w:hideMark/>
        </w:tcPr>
        <w:p w14:paraId="49BE4423" w14:textId="77777777" w:rsidR="00703963" w:rsidRPr="00A87049" w:rsidRDefault="00703963" w:rsidP="002923D5">
          <w:pPr>
            <w:spacing w:before="240"/>
            <w:jc w:val="center"/>
            <w:rPr>
              <w:rFonts w:cstheme="minorHAnsi"/>
              <w:sz w:val="18"/>
              <w:szCs w:val="18"/>
            </w:rPr>
          </w:pPr>
          <w:r w:rsidRPr="00A87049">
            <w:rPr>
              <w:rFonts w:cstheme="minorHAnsi"/>
              <w:sz w:val="18"/>
              <w:szCs w:val="18"/>
            </w:rPr>
            <w:t>Área Responsável:</w:t>
          </w:r>
        </w:p>
      </w:tc>
      <w:tc>
        <w:tcPr>
          <w:tcW w:w="2008" w:type="dxa"/>
          <w:noWrap/>
          <w:hideMark/>
        </w:tcPr>
        <w:p w14:paraId="2348CC2E" w14:textId="604B2DFC" w:rsidR="00703963" w:rsidRPr="00A87049" w:rsidRDefault="003E19C9" w:rsidP="002923D5">
          <w:pPr>
            <w:spacing w:before="240"/>
            <w:jc w:val="center"/>
            <w:rPr>
              <w:rFonts w:cstheme="minorHAnsi"/>
              <w:b/>
              <w:bCs/>
              <w:sz w:val="18"/>
              <w:szCs w:val="18"/>
            </w:rPr>
          </w:pPr>
          <w:r>
            <w:rPr>
              <w:rFonts w:cstheme="minorHAnsi"/>
              <w:b/>
              <w:bCs/>
              <w:sz w:val="18"/>
              <w:szCs w:val="18"/>
            </w:rPr>
            <w:t>Projetos e Sistemas</w:t>
          </w:r>
        </w:p>
      </w:tc>
      <w:tc>
        <w:tcPr>
          <w:tcW w:w="1787" w:type="dxa"/>
          <w:noWrap/>
          <w:hideMark/>
        </w:tcPr>
        <w:p w14:paraId="3ACDD5E8" w14:textId="77777777" w:rsidR="00703963" w:rsidRPr="00A87049" w:rsidRDefault="00703963" w:rsidP="002923D5">
          <w:pPr>
            <w:spacing w:before="120"/>
            <w:jc w:val="center"/>
            <w:rPr>
              <w:rFonts w:cstheme="minorHAnsi"/>
              <w:sz w:val="18"/>
              <w:szCs w:val="18"/>
            </w:rPr>
          </w:pPr>
          <w:r w:rsidRPr="00A87049">
            <w:rPr>
              <w:rFonts w:cstheme="minorHAnsi"/>
              <w:sz w:val="18"/>
              <w:szCs w:val="18"/>
            </w:rPr>
            <w:t>Classificação da Informação:</w:t>
          </w:r>
        </w:p>
      </w:tc>
      <w:tc>
        <w:tcPr>
          <w:tcW w:w="1308" w:type="dxa"/>
          <w:hideMark/>
        </w:tcPr>
        <w:p w14:paraId="0593ECEB" w14:textId="641E8C71" w:rsidR="00703963" w:rsidRPr="00A87049" w:rsidRDefault="003E19C9" w:rsidP="002923D5">
          <w:pPr>
            <w:spacing w:before="120"/>
            <w:jc w:val="center"/>
            <w:rPr>
              <w:rFonts w:cstheme="minorHAnsi"/>
              <w:b/>
              <w:bCs/>
              <w:sz w:val="18"/>
              <w:szCs w:val="18"/>
            </w:rPr>
          </w:pPr>
          <w:r>
            <w:rPr>
              <w:rFonts w:cstheme="minorHAnsi"/>
              <w:b/>
              <w:bCs/>
              <w:sz w:val="18"/>
              <w:szCs w:val="18"/>
            </w:rPr>
            <w:t>01</w:t>
          </w:r>
        </w:p>
      </w:tc>
      <w:tc>
        <w:tcPr>
          <w:tcW w:w="3355" w:type="dxa"/>
          <w:vMerge/>
        </w:tcPr>
        <w:p w14:paraId="16F4995D" w14:textId="77777777" w:rsidR="00703963" w:rsidRPr="4F38CA8A" w:rsidRDefault="00703963" w:rsidP="00087AEB">
          <w:pPr>
            <w:jc w:val="center"/>
            <w:rPr>
              <w:rFonts w:ascii="Arial" w:hAnsi="Arial" w:cs="Arial"/>
              <w:b/>
              <w:bCs/>
              <w:sz w:val="18"/>
              <w:szCs w:val="18"/>
            </w:rPr>
          </w:pPr>
        </w:p>
      </w:tc>
    </w:tr>
  </w:tbl>
  <w:p w14:paraId="2A7E4DEF" w14:textId="77777777" w:rsidR="00703963" w:rsidRDefault="00703963" w:rsidP="00087AEB">
    <w:pPr>
      <w:pStyle w:val="NormalWeb"/>
    </w:pPr>
    <w:r>
      <w:t xml:space="preserve">               </w:t>
    </w:r>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FC34F" w14:textId="77777777" w:rsidR="007D34BE" w:rsidRDefault="007D34B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51964"/>
    <w:multiLevelType w:val="hybridMultilevel"/>
    <w:tmpl w:val="EF285B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615B18"/>
    <w:multiLevelType w:val="hybridMultilevel"/>
    <w:tmpl w:val="D040E69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067C7048"/>
    <w:multiLevelType w:val="hybridMultilevel"/>
    <w:tmpl w:val="80C6CE5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074E7DEE"/>
    <w:multiLevelType w:val="hybridMultilevel"/>
    <w:tmpl w:val="C1043F2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CEA10ED"/>
    <w:multiLevelType w:val="hybridMultilevel"/>
    <w:tmpl w:val="22047C6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130E30D0"/>
    <w:multiLevelType w:val="hybridMultilevel"/>
    <w:tmpl w:val="96DC0C2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16310367"/>
    <w:multiLevelType w:val="hybridMultilevel"/>
    <w:tmpl w:val="78D854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C64C0F"/>
    <w:multiLevelType w:val="hybridMultilevel"/>
    <w:tmpl w:val="600C138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8" w15:restartNumberingAfterBreak="0">
    <w:nsid w:val="18FE756F"/>
    <w:multiLevelType w:val="hybridMultilevel"/>
    <w:tmpl w:val="C052C0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9D70611"/>
    <w:multiLevelType w:val="hybridMultilevel"/>
    <w:tmpl w:val="D00281D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19DD621E"/>
    <w:multiLevelType w:val="hybridMultilevel"/>
    <w:tmpl w:val="B85E63B6"/>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1" w15:restartNumberingAfterBreak="0">
    <w:nsid w:val="1C151839"/>
    <w:multiLevelType w:val="multilevel"/>
    <w:tmpl w:val="FED8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517C39"/>
    <w:multiLevelType w:val="hybridMultilevel"/>
    <w:tmpl w:val="D0B8C8E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1C7446FA"/>
    <w:multiLevelType w:val="hybridMultilevel"/>
    <w:tmpl w:val="48D0C0D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1CA04FB1"/>
    <w:multiLevelType w:val="multilevel"/>
    <w:tmpl w:val="A3544F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CC863BA"/>
    <w:multiLevelType w:val="hybridMultilevel"/>
    <w:tmpl w:val="2A0A3A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E8C0D8C"/>
    <w:multiLevelType w:val="hybridMultilevel"/>
    <w:tmpl w:val="E4D2ED8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7" w15:restartNumberingAfterBreak="0">
    <w:nsid w:val="22166F9C"/>
    <w:multiLevelType w:val="hybridMultilevel"/>
    <w:tmpl w:val="F84CFCC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8" w15:restartNumberingAfterBreak="0">
    <w:nsid w:val="2E9D75B6"/>
    <w:multiLevelType w:val="hybridMultilevel"/>
    <w:tmpl w:val="14C4F48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300565B3"/>
    <w:multiLevelType w:val="hybridMultilevel"/>
    <w:tmpl w:val="308A9D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18E3F4A"/>
    <w:multiLevelType w:val="hybridMultilevel"/>
    <w:tmpl w:val="415CD61A"/>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1" w15:restartNumberingAfterBreak="0">
    <w:nsid w:val="3AA506A0"/>
    <w:multiLevelType w:val="hybridMultilevel"/>
    <w:tmpl w:val="702A5F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18544D4"/>
    <w:multiLevelType w:val="hybridMultilevel"/>
    <w:tmpl w:val="81BA3844"/>
    <w:lvl w:ilvl="0" w:tplc="04160001">
      <w:start w:val="1"/>
      <w:numFmt w:val="bullet"/>
      <w:lvlText w:val=""/>
      <w:lvlJc w:val="left"/>
      <w:pPr>
        <w:ind w:left="1572" w:hanging="360"/>
      </w:pPr>
      <w:rPr>
        <w:rFonts w:ascii="Symbol" w:hAnsi="Symbol" w:hint="default"/>
      </w:rPr>
    </w:lvl>
    <w:lvl w:ilvl="1" w:tplc="04160003" w:tentative="1">
      <w:start w:val="1"/>
      <w:numFmt w:val="bullet"/>
      <w:lvlText w:val="o"/>
      <w:lvlJc w:val="left"/>
      <w:pPr>
        <w:ind w:left="2292" w:hanging="360"/>
      </w:pPr>
      <w:rPr>
        <w:rFonts w:ascii="Courier New" w:hAnsi="Courier New" w:cs="Courier New" w:hint="default"/>
      </w:rPr>
    </w:lvl>
    <w:lvl w:ilvl="2" w:tplc="04160005" w:tentative="1">
      <w:start w:val="1"/>
      <w:numFmt w:val="bullet"/>
      <w:lvlText w:val=""/>
      <w:lvlJc w:val="left"/>
      <w:pPr>
        <w:ind w:left="3012" w:hanging="360"/>
      </w:pPr>
      <w:rPr>
        <w:rFonts w:ascii="Wingdings" w:hAnsi="Wingdings" w:hint="default"/>
      </w:rPr>
    </w:lvl>
    <w:lvl w:ilvl="3" w:tplc="04160001" w:tentative="1">
      <w:start w:val="1"/>
      <w:numFmt w:val="bullet"/>
      <w:lvlText w:val=""/>
      <w:lvlJc w:val="left"/>
      <w:pPr>
        <w:ind w:left="3732" w:hanging="360"/>
      </w:pPr>
      <w:rPr>
        <w:rFonts w:ascii="Symbol" w:hAnsi="Symbol" w:hint="default"/>
      </w:rPr>
    </w:lvl>
    <w:lvl w:ilvl="4" w:tplc="04160003" w:tentative="1">
      <w:start w:val="1"/>
      <w:numFmt w:val="bullet"/>
      <w:lvlText w:val="o"/>
      <w:lvlJc w:val="left"/>
      <w:pPr>
        <w:ind w:left="4452" w:hanging="360"/>
      </w:pPr>
      <w:rPr>
        <w:rFonts w:ascii="Courier New" w:hAnsi="Courier New" w:cs="Courier New" w:hint="default"/>
      </w:rPr>
    </w:lvl>
    <w:lvl w:ilvl="5" w:tplc="04160005" w:tentative="1">
      <w:start w:val="1"/>
      <w:numFmt w:val="bullet"/>
      <w:lvlText w:val=""/>
      <w:lvlJc w:val="left"/>
      <w:pPr>
        <w:ind w:left="5172" w:hanging="360"/>
      </w:pPr>
      <w:rPr>
        <w:rFonts w:ascii="Wingdings" w:hAnsi="Wingdings" w:hint="default"/>
      </w:rPr>
    </w:lvl>
    <w:lvl w:ilvl="6" w:tplc="04160001" w:tentative="1">
      <w:start w:val="1"/>
      <w:numFmt w:val="bullet"/>
      <w:lvlText w:val=""/>
      <w:lvlJc w:val="left"/>
      <w:pPr>
        <w:ind w:left="5892" w:hanging="360"/>
      </w:pPr>
      <w:rPr>
        <w:rFonts w:ascii="Symbol" w:hAnsi="Symbol" w:hint="default"/>
      </w:rPr>
    </w:lvl>
    <w:lvl w:ilvl="7" w:tplc="04160003" w:tentative="1">
      <w:start w:val="1"/>
      <w:numFmt w:val="bullet"/>
      <w:lvlText w:val="o"/>
      <w:lvlJc w:val="left"/>
      <w:pPr>
        <w:ind w:left="6612" w:hanging="360"/>
      </w:pPr>
      <w:rPr>
        <w:rFonts w:ascii="Courier New" w:hAnsi="Courier New" w:cs="Courier New" w:hint="default"/>
      </w:rPr>
    </w:lvl>
    <w:lvl w:ilvl="8" w:tplc="04160005" w:tentative="1">
      <w:start w:val="1"/>
      <w:numFmt w:val="bullet"/>
      <w:lvlText w:val=""/>
      <w:lvlJc w:val="left"/>
      <w:pPr>
        <w:ind w:left="7332" w:hanging="360"/>
      </w:pPr>
      <w:rPr>
        <w:rFonts w:ascii="Wingdings" w:hAnsi="Wingdings" w:hint="default"/>
      </w:rPr>
    </w:lvl>
  </w:abstractNum>
  <w:abstractNum w:abstractNumId="23" w15:restartNumberingAfterBreak="0">
    <w:nsid w:val="453D0073"/>
    <w:multiLevelType w:val="hybridMultilevel"/>
    <w:tmpl w:val="E0FCA7A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4" w15:restartNumberingAfterBreak="0">
    <w:nsid w:val="47037221"/>
    <w:multiLevelType w:val="multilevel"/>
    <w:tmpl w:val="6188F6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95C21F0"/>
    <w:multiLevelType w:val="hybridMultilevel"/>
    <w:tmpl w:val="560C5B58"/>
    <w:lvl w:ilvl="0" w:tplc="04160001">
      <w:start w:val="1"/>
      <w:numFmt w:val="bullet"/>
      <w:lvlText w:val=""/>
      <w:lvlJc w:val="left"/>
      <w:pPr>
        <w:ind w:left="2292" w:hanging="360"/>
      </w:pPr>
      <w:rPr>
        <w:rFonts w:ascii="Symbol" w:hAnsi="Symbol" w:hint="default"/>
      </w:rPr>
    </w:lvl>
    <w:lvl w:ilvl="1" w:tplc="04160003" w:tentative="1">
      <w:start w:val="1"/>
      <w:numFmt w:val="bullet"/>
      <w:lvlText w:val="o"/>
      <w:lvlJc w:val="left"/>
      <w:pPr>
        <w:ind w:left="3012" w:hanging="360"/>
      </w:pPr>
      <w:rPr>
        <w:rFonts w:ascii="Courier New" w:hAnsi="Courier New" w:cs="Courier New" w:hint="default"/>
      </w:rPr>
    </w:lvl>
    <w:lvl w:ilvl="2" w:tplc="04160005" w:tentative="1">
      <w:start w:val="1"/>
      <w:numFmt w:val="bullet"/>
      <w:lvlText w:val=""/>
      <w:lvlJc w:val="left"/>
      <w:pPr>
        <w:ind w:left="3732" w:hanging="360"/>
      </w:pPr>
      <w:rPr>
        <w:rFonts w:ascii="Wingdings" w:hAnsi="Wingdings" w:hint="default"/>
      </w:rPr>
    </w:lvl>
    <w:lvl w:ilvl="3" w:tplc="04160001" w:tentative="1">
      <w:start w:val="1"/>
      <w:numFmt w:val="bullet"/>
      <w:lvlText w:val=""/>
      <w:lvlJc w:val="left"/>
      <w:pPr>
        <w:ind w:left="4452" w:hanging="360"/>
      </w:pPr>
      <w:rPr>
        <w:rFonts w:ascii="Symbol" w:hAnsi="Symbol" w:hint="default"/>
      </w:rPr>
    </w:lvl>
    <w:lvl w:ilvl="4" w:tplc="04160003" w:tentative="1">
      <w:start w:val="1"/>
      <w:numFmt w:val="bullet"/>
      <w:lvlText w:val="o"/>
      <w:lvlJc w:val="left"/>
      <w:pPr>
        <w:ind w:left="5172" w:hanging="360"/>
      </w:pPr>
      <w:rPr>
        <w:rFonts w:ascii="Courier New" w:hAnsi="Courier New" w:cs="Courier New" w:hint="default"/>
      </w:rPr>
    </w:lvl>
    <w:lvl w:ilvl="5" w:tplc="04160005" w:tentative="1">
      <w:start w:val="1"/>
      <w:numFmt w:val="bullet"/>
      <w:lvlText w:val=""/>
      <w:lvlJc w:val="left"/>
      <w:pPr>
        <w:ind w:left="5892" w:hanging="360"/>
      </w:pPr>
      <w:rPr>
        <w:rFonts w:ascii="Wingdings" w:hAnsi="Wingdings" w:hint="default"/>
      </w:rPr>
    </w:lvl>
    <w:lvl w:ilvl="6" w:tplc="04160001" w:tentative="1">
      <w:start w:val="1"/>
      <w:numFmt w:val="bullet"/>
      <w:lvlText w:val=""/>
      <w:lvlJc w:val="left"/>
      <w:pPr>
        <w:ind w:left="6612" w:hanging="360"/>
      </w:pPr>
      <w:rPr>
        <w:rFonts w:ascii="Symbol" w:hAnsi="Symbol" w:hint="default"/>
      </w:rPr>
    </w:lvl>
    <w:lvl w:ilvl="7" w:tplc="04160003" w:tentative="1">
      <w:start w:val="1"/>
      <w:numFmt w:val="bullet"/>
      <w:lvlText w:val="o"/>
      <w:lvlJc w:val="left"/>
      <w:pPr>
        <w:ind w:left="7332" w:hanging="360"/>
      </w:pPr>
      <w:rPr>
        <w:rFonts w:ascii="Courier New" w:hAnsi="Courier New" w:cs="Courier New" w:hint="default"/>
      </w:rPr>
    </w:lvl>
    <w:lvl w:ilvl="8" w:tplc="04160005" w:tentative="1">
      <w:start w:val="1"/>
      <w:numFmt w:val="bullet"/>
      <w:lvlText w:val=""/>
      <w:lvlJc w:val="left"/>
      <w:pPr>
        <w:ind w:left="8052" w:hanging="360"/>
      </w:pPr>
      <w:rPr>
        <w:rFonts w:ascii="Wingdings" w:hAnsi="Wingdings" w:hint="default"/>
      </w:rPr>
    </w:lvl>
  </w:abstractNum>
  <w:abstractNum w:abstractNumId="26" w15:restartNumberingAfterBreak="0">
    <w:nsid w:val="4E6661FD"/>
    <w:multiLevelType w:val="hybridMultilevel"/>
    <w:tmpl w:val="F0962DC8"/>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27" w15:restartNumberingAfterBreak="0">
    <w:nsid w:val="4F24647F"/>
    <w:multiLevelType w:val="hybridMultilevel"/>
    <w:tmpl w:val="6C462B20"/>
    <w:lvl w:ilvl="0" w:tplc="04160001">
      <w:start w:val="1"/>
      <w:numFmt w:val="bullet"/>
      <w:lvlText w:val=""/>
      <w:lvlJc w:val="left"/>
      <w:pPr>
        <w:ind w:left="1931" w:hanging="360"/>
      </w:pPr>
      <w:rPr>
        <w:rFonts w:ascii="Symbol" w:hAnsi="Symbol" w:hint="default"/>
      </w:rPr>
    </w:lvl>
    <w:lvl w:ilvl="1" w:tplc="04160003" w:tentative="1">
      <w:start w:val="1"/>
      <w:numFmt w:val="bullet"/>
      <w:lvlText w:val="o"/>
      <w:lvlJc w:val="left"/>
      <w:pPr>
        <w:ind w:left="2651" w:hanging="360"/>
      </w:pPr>
      <w:rPr>
        <w:rFonts w:ascii="Courier New" w:hAnsi="Courier New" w:cs="Courier New" w:hint="default"/>
      </w:rPr>
    </w:lvl>
    <w:lvl w:ilvl="2" w:tplc="04160005" w:tentative="1">
      <w:start w:val="1"/>
      <w:numFmt w:val="bullet"/>
      <w:lvlText w:val=""/>
      <w:lvlJc w:val="left"/>
      <w:pPr>
        <w:ind w:left="3371" w:hanging="360"/>
      </w:pPr>
      <w:rPr>
        <w:rFonts w:ascii="Wingdings" w:hAnsi="Wingdings" w:hint="default"/>
      </w:rPr>
    </w:lvl>
    <w:lvl w:ilvl="3" w:tplc="04160001" w:tentative="1">
      <w:start w:val="1"/>
      <w:numFmt w:val="bullet"/>
      <w:lvlText w:val=""/>
      <w:lvlJc w:val="left"/>
      <w:pPr>
        <w:ind w:left="4091" w:hanging="360"/>
      </w:pPr>
      <w:rPr>
        <w:rFonts w:ascii="Symbol" w:hAnsi="Symbol" w:hint="default"/>
      </w:rPr>
    </w:lvl>
    <w:lvl w:ilvl="4" w:tplc="04160003" w:tentative="1">
      <w:start w:val="1"/>
      <w:numFmt w:val="bullet"/>
      <w:lvlText w:val="o"/>
      <w:lvlJc w:val="left"/>
      <w:pPr>
        <w:ind w:left="4811" w:hanging="360"/>
      </w:pPr>
      <w:rPr>
        <w:rFonts w:ascii="Courier New" w:hAnsi="Courier New" w:cs="Courier New" w:hint="default"/>
      </w:rPr>
    </w:lvl>
    <w:lvl w:ilvl="5" w:tplc="04160005" w:tentative="1">
      <w:start w:val="1"/>
      <w:numFmt w:val="bullet"/>
      <w:lvlText w:val=""/>
      <w:lvlJc w:val="left"/>
      <w:pPr>
        <w:ind w:left="5531" w:hanging="360"/>
      </w:pPr>
      <w:rPr>
        <w:rFonts w:ascii="Wingdings" w:hAnsi="Wingdings" w:hint="default"/>
      </w:rPr>
    </w:lvl>
    <w:lvl w:ilvl="6" w:tplc="04160001" w:tentative="1">
      <w:start w:val="1"/>
      <w:numFmt w:val="bullet"/>
      <w:lvlText w:val=""/>
      <w:lvlJc w:val="left"/>
      <w:pPr>
        <w:ind w:left="6251" w:hanging="360"/>
      </w:pPr>
      <w:rPr>
        <w:rFonts w:ascii="Symbol" w:hAnsi="Symbol" w:hint="default"/>
      </w:rPr>
    </w:lvl>
    <w:lvl w:ilvl="7" w:tplc="04160003" w:tentative="1">
      <w:start w:val="1"/>
      <w:numFmt w:val="bullet"/>
      <w:lvlText w:val="o"/>
      <w:lvlJc w:val="left"/>
      <w:pPr>
        <w:ind w:left="6971" w:hanging="360"/>
      </w:pPr>
      <w:rPr>
        <w:rFonts w:ascii="Courier New" w:hAnsi="Courier New" w:cs="Courier New" w:hint="default"/>
      </w:rPr>
    </w:lvl>
    <w:lvl w:ilvl="8" w:tplc="04160005" w:tentative="1">
      <w:start w:val="1"/>
      <w:numFmt w:val="bullet"/>
      <w:lvlText w:val=""/>
      <w:lvlJc w:val="left"/>
      <w:pPr>
        <w:ind w:left="7691" w:hanging="360"/>
      </w:pPr>
      <w:rPr>
        <w:rFonts w:ascii="Wingdings" w:hAnsi="Wingdings" w:hint="default"/>
      </w:rPr>
    </w:lvl>
  </w:abstractNum>
  <w:abstractNum w:abstractNumId="28" w15:restartNumberingAfterBreak="0">
    <w:nsid w:val="502E48B3"/>
    <w:multiLevelType w:val="hybridMultilevel"/>
    <w:tmpl w:val="870EA3D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9" w15:restartNumberingAfterBreak="0">
    <w:nsid w:val="503D753F"/>
    <w:multiLevelType w:val="hybridMultilevel"/>
    <w:tmpl w:val="A4AC01AC"/>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30" w15:restartNumberingAfterBreak="0">
    <w:nsid w:val="51E344C2"/>
    <w:multiLevelType w:val="hybridMultilevel"/>
    <w:tmpl w:val="BEA2EE02"/>
    <w:lvl w:ilvl="0" w:tplc="0416000F">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2030656"/>
    <w:multiLevelType w:val="hybridMultilevel"/>
    <w:tmpl w:val="F5CC4CA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2" w15:restartNumberingAfterBreak="0">
    <w:nsid w:val="570D4635"/>
    <w:multiLevelType w:val="hybridMultilevel"/>
    <w:tmpl w:val="6762830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3" w15:restartNumberingAfterBreak="0">
    <w:nsid w:val="59667693"/>
    <w:multiLevelType w:val="hybridMultilevel"/>
    <w:tmpl w:val="6B7E49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CA85DB8"/>
    <w:multiLevelType w:val="hybridMultilevel"/>
    <w:tmpl w:val="A508B680"/>
    <w:lvl w:ilvl="0" w:tplc="D408C694">
      <w:start w:val="1"/>
      <w:numFmt w:val="lowerLetter"/>
      <w:lvlText w:val="%1)"/>
      <w:lvlJc w:val="left"/>
      <w:pPr>
        <w:ind w:left="1080" w:hanging="360"/>
      </w:pPr>
      <w:rPr>
        <w:rFonts w:hint="default"/>
        <w:b w:val="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5" w15:restartNumberingAfterBreak="0">
    <w:nsid w:val="626C1140"/>
    <w:multiLevelType w:val="hybridMultilevel"/>
    <w:tmpl w:val="EC44B4D4"/>
    <w:lvl w:ilvl="0" w:tplc="04160001">
      <w:start w:val="1"/>
      <w:numFmt w:val="bullet"/>
      <w:lvlText w:val=""/>
      <w:lvlJc w:val="left"/>
      <w:pPr>
        <w:ind w:left="1572" w:hanging="360"/>
      </w:pPr>
      <w:rPr>
        <w:rFonts w:ascii="Symbol" w:hAnsi="Symbol" w:hint="default"/>
      </w:rPr>
    </w:lvl>
    <w:lvl w:ilvl="1" w:tplc="04160003" w:tentative="1">
      <w:start w:val="1"/>
      <w:numFmt w:val="bullet"/>
      <w:lvlText w:val="o"/>
      <w:lvlJc w:val="left"/>
      <w:pPr>
        <w:ind w:left="2292" w:hanging="360"/>
      </w:pPr>
      <w:rPr>
        <w:rFonts w:ascii="Courier New" w:hAnsi="Courier New" w:cs="Courier New" w:hint="default"/>
      </w:rPr>
    </w:lvl>
    <w:lvl w:ilvl="2" w:tplc="04160005" w:tentative="1">
      <w:start w:val="1"/>
      <w:numFmt w:val="bullet"/>
      <w:lvlText w:val=""/>
      <w:lvlJc w:val="left"/>
      <w:pPr>
        <w:ind w:left="3012" w:hanging="360"/>
      </w:pPr>
      <w:rPr>
        <w:rFonts w:ascii="Wingdings" w:hAnsi="Wingdings" w:hint="default"/>
      </w:rPr>
    </w:lvl>
    <w:lvl w:ilvl="3" w:tplc="04160001" w:tentative="1">
      <w:start w:val="1"/>
      <w:numFmt w:val="bullet"/>
      <w:lvlText w:val=""/>
      <w:lvlJc w:val="left"/>
      <w:pPr>
        <w:ind w:left="3732" w:hanging="360"/>
      </w:pPr>
      <w:rPr>
        <w:rFonts w:ascii="Symbol" w:hAnsi="Symbol" w:hint="default"/>
      </w:rPr>
    </w:lvl>
    <w:lvl w:ilvl="4" w:tplc="04160003" w:tentative="1">
      <w:start w:val="1"/>
      <w:numFmt w:val="bullet"/>
      <w:lvlText w:val="o"/>
      <w:lvlJc w:val="left"/>
      <w:pPr>
        <w:ind w:left="4452" w:hanging="360"/>
      </w:pPr>
      <w:rPr>
        <w:rFonts w:ascii="Courier New" w:hAnsi="Courier New" w:cs="Courier New" w:hint="default"/>
      </w:rPr>
    </w:lvl>
    <w:lvl w:ilvl="5" w:tplc="04160005" w:tentative="1">
      <w:start w:val="1"/>
      <w:numFmt w:val="bullet"/>
      <w:lvlText w:val=""/>
      <w:lvlJc w:val="left"/>
      <w:pPr>
        <w:ind w:left="5172" w:hanging="360"/>
      </w:pPr>
      <w:rPr>
        <w:rFonts w:ascii="Wingdings" w:hAnsi="Wingdings" w:hint="default"/>
      </w:rPr>
    </w:lvl>
    <w:lvl w:ilvl="6" w:tplc="04160001" w:tentative="1">
      <w:start w:val="1"/>
      <w:numFmt w:val="bullet"/>
      <w:lvlText w:val=""/>
      <w:lvlJc w:val="left"/>
      <w:pPr>
        <w:ind w:left="5892" w:hanging="360"/>
      </w:pPr>
      <w:rPr>
        <w:rFonts w:ascii="Symbol" w:hAnsi="Symbol" w:hint="default"/>
      </w:rPr>
    </w:lvl>
    <w:lvl w:ilvl="7" w:tplc="04160003" w:tentative="1">
      <w:start w:val="1"/>
      <w:numFmt w:val="bullet"/>
      <w:lvlText w:val="o"/>
      <w:lvlJc w:val="left"/>
      <w:pPr>
        <w:ind w:left="6612" w:hanging="360"/>
      </w:pPr>
      <w:rPr>
        <w:rFonts w:ascii="Courier New" w:hAnsi="Courier New" w:cs="Courier New" w:hint="default"/>
      </w:rPr>
    </w:lvl>
    <w:lvl w:ilvl="8" w:tplc="04160005" w:tentative="1">
      <w:start w:val="1"/>
      <w:numFmt w:val="bullet"/>
      <w:lvlText w:val=""/>
      <w:lvlJc w:val="left"/>
      <w:pPr>
        <w:ind w:left="7332" w:hanging="360"/>
      </w:pPr>
      <w:rPr>
        <w:rFonts w:ascii="Wingdings" w:hAnsi="Wingdings" w:hint="default"/>
      </w:rPr>
    </w:lvl>
  </w:abstractNum>
  <w:abstractNum w:abstractNumId="36" w15:restartNumberingAfterBreak="0">
    <w:nsid w:val="640E462F"/>
    <w:multiLevelType w:val="hybridMultilevel"/>
    <w:tmpl w:val="92F6826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7" w15:restartNumberingAfterBreak="0">
    <w:nsid w:val="658573B1"/>
    <w:multiLevelType w:val="hybridMultilevel"/>
    <w:tmpl w:val="278EBFE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8" w15:restartNumberingAfterBreak="0">
    <w:nsid w:val="661500CD"/>
    <w:multiLevelType w:val="hybridMultilevel"/>
    <w:tmpl w:val="D528E8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1F054F"/>
    <w:multiLevelType w:val="hybridMultilevel"/>
    <w:tmpl w:val="308A9D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79FA32E1"/>
    <w:multiLevelType w:val="hybridMultilevel"/>
    <w:tmpl w:val="AABC8936"/>
    <w:lvl w:ilvl="0" w:tplc="4EB6207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4231955">
    <w:abstractNumId w:val="14"/>
  </w:num>
  <w:num w:numId="2" w16cid:durableId="816805372">
    <w:abstractNumId w:val="33"/>
  </w:num>
  <w:num w:numId="3" w16cid:durableId="1225487219">
    <w:abstractNumId w:val="34"/>
  </w:num>
  <w:num w:numId="4" w16cid:durableId="1891721914">
    <w:abstractNumId w:val="23"/>
  </w:num>
  <w:num w:numId="5" w16cid:durableId="1340616636">
    <w:abstractNumId w:val="9"/>
  </w:num>
  <w:num w:numId="6" w16cid:durableId="1761831786">
    <w:abstractNumId w:val="16"/>
  </w:num>
  <w:num w:numId="7" w16cid:durableId="1260603190">
    <w:abstractNumId w:val="38"/>
  </w:num>
  <w:num w:numId="8" w16cid:durableId="1632789290">
    <w:abstractNumId w:val="17"/>
  </w:num>
  <w:num w:numId="9" w16cid:durableId="1323587204">
    <w:abstractNumId w:val="15"/>
  </w:num>
  <w:num w:numId="10" w16cid:durableId="389614790">
    <w:abstractNumId w:val="19"/>
  </w:num>
  <w:num w:numId="11" w16cid:durableId="602961389">
    <w:abstractNumId w:val="39"/>
  </w:num>
  <w:num w:numId="12" w16cid:durableId="951938662">
    <w:abstractNumId w:val="26"/>
  </w:num>
  <w:num w:numId="13" w16cid:durableId="1910536977">
    <w:abstractNumId w:val="29"/>
  </w:num>
  <w:num w:numId="14" w16cid:durableId="818229087">
    <w:abstractNumId w:val="8"/>
  </w:num>
  <w:num w:numId="15" w16cid:durableId="698356344">
    <w:abstractNumId w:val="21"/>
  </w:num>
  <w:num w:numId="16" w16cid:durableId="1593708472">
    <w:abstractNumId w:val="24"/>
  </w:num>
  <w:num w:numId="17" w16cid:durableId="538931272">
    <w:abstractNumId w:val="3"/>
  </w:num>
  <w:num w:numId="18" w16cid:durableId="1753970127">
    <w:abstractNumId w:val="36"/>
  </w:num>
  <w:num w:numId="19" w16cid:durableId="2320742">
    <w:abstractNumId w:val="10"/>
  </w:num>
  <w:num w:numId="20" w16cid:durableId="1580170520">
    <w:abstractNumId w:val="40"/>
  </w:num>
  <w:num w:numId="21" w16cid:durableId="352168">
    <w:abstractNumId w:val="6"/>
  </w:num>
  <w:num w:numId="22" w16cid:durableId="1761871054">
    <w:abstractNumId w:val="37"/>
  </w:num>
  <w:num w:numId="23" w16cid:durableId="1555848642">
    <w:abstractNumId w:val="7"/>
  </w:num>
  <w:num w:numId="24" w16cid:durableId="558787715">
    <w:abstractNumId w:val="18"/>
  </w:num>
  <w:num w:numId="25" w16cid:durableId="439380160">
    <w:abstractNumId w:val="0"/>
  </w:num>
  <w:num w:numId="26" w16cid:durableId="1248156410">
    <w:abstractNumId w:val="28"/>
  </w:num>
  <w:num w:numId="27" w16cid:durableId="1699963840">
    <w:abstractNumId w:val="13"/>
  </w:num>
  <w:num w:numId="28" w16cid:durableId="43215946">
    <w:abstractNumId w:val="12"/>
  </w:num>
  <w:num w:numId="29" w16cid:durableId="234517300">
    <w:abstractNumId w:val="1"/>
  </w:num>
  <w:num w:numId="30" w16cid:durableId="325329284">
    <w:abstractNumId w:val="30"/>
  </w:num>
  <w:num w:numId="31" w16cid:durableId="488324759">
    <w:abstractNumId w:val="20"/>
  </w:num>
  <w:num w:numId="32" w16cid:durableId="848327385">
    <w:abstractNumId w:val="31"/>
  </w:num>
  <w:num w:numId="33" w16cid:durableId="505173430">
    <w:abstractNumId w:val="5"/>
  </w:num>
  <w:num w:numId="34" w16cid:durableId="180244609">
    <w:abstractNumId w:val="32"/>
  </w:num>
  <w:num w:numId="35" w16cid:durableId="1111239489">
    <w:abstractNumId w:val="4"/>
  </w:num>
  <w:num w:numId="36" w16cid:durableId="1857227508">
    <w:abstractNumId w:val="2"/>
  </w:num>
  <w:num w:numId="37" w16cid:durableId="1505775797">
    <w:abstractNumId w:val="27"/>
  </w:num>
  <w:num w:numId="38" w16cid:durableId="1656570059">
    <w:abstractNumId w:val="35"/>
  </w:num>
  <w:num w:numId="39" w16cid:durableId="214974242">
    <w:abstractNumId w:val="22"/>
  </w:num>
  <w:num w:numId="40" w16cid:durableId="1027487839">
    <w:abstractNumId w:val="25"/>
  </w:num>
  <w:num w:numId="41" w16cid:durableId="870412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AEB"/>
    <w:rsid w:val="000119DA"/>
    <w:rsid w:val="00011A0A"/>
    <w:rsid w:val="0003180C"/>
    <w:rsid w:val="000417B4"/>
    <w:rsid w:val="00045E45"/>
    <w:rsid w:val="00053FAC"/>
    <w:rsid w:val="00057753"/>
    <w:rsid w:val="0006222F"/>
    <w:rsid w:val="00070D59"/>
    <w:rsid w:val="00087AEB"/>
    <w:rsid w:val="000A3540"/>
    <w:rsid w:val="000A38EB"/>
    <w:rsid w:val="000D4E4B"/>
    <w:rsid w:val="000F5276"/>
    <w:rsid w:val="00134A52"/>
    <w:rsid w:val="0014687C"/>
    <w:rsid w:val="0015085D"/>
    <w:rsid w:val="00150D6A"/>
    <w:rsid w:val="00167522"/>
    <w:rsid w:val="00181271"/>
    <w:rsid w:val="001D1DEB"/>
    <w:rsid w:val="001E2346"/>
    <w:rsid w:val="001F5082"/>
    <w:rsid w:val="00242E73"/>
    <w:rsid w:val="00243D7C"/>
    <w:rsid w:val="00261AB9"/>
    <w:rsid w:val="00282EAC"/>
    <w:rsid w:val="002923D5"/>
    <w:rsid w:val="002A0C86"/>
    <w:rsid w:val="002A1293"/>
    <w:rsid w:val="002C62AC"/>
    <w:rsid w:val="002D48B8"/>
    <w:rsid w:val="002D4E15"/>
    <w:rsid w:val="00310C50"/>
    <w:rsid w:val="003176DE"/>
    <w:rsid w:val="00327239"/>
    <w:rsid w:val="0033154D"/>
    <w:rsid w:val="00360CA0"/>
    <w:rsid w:val="00391CFC"/>
    <w:rsid w:val="00397737"/>
    <w:rsid w:val="003C0131"/>
    <w:rsid w:val="003D25B1"/>
    <w:rsid w:val="003E19C9"/>
    <w:rsid w:val="00416205"/>
    <w:rsid w:val="004310DD"/>
    <w:rsid w:val="004332EE"/>
    <w:rsid w:val="0044558B"/>
    <w:rsid w:val="00445AEE"/>
    <w:rsid w:val="0045042B"/>
    <w:rsid w:val="004539B4"/>
    <w:rsid w:val="00472898"/>
    <w:rsid w:val="00484782"/>
    <w:rsid w:val="004C294E"/>
    <w:rsid w:val="004E6554"/>
    <w:rsid w:val="00504D68"/>
    <w:rsid w:val="005153A9"/>
    <w:rsid w:val="0051739E"/>
    <w:rsid w:val="0053168C"/>
    <w:rsid w:val="00536B36"/>
    <w:rsid w:val="0055292C"/>
    <w:rsid w:val="005641CA"/>
    <w:rsid w:val="00570C5B"/>
    <w:rsid w:val="005E1CC2"/>
    <w:rsid w:val="005F1FBA"/>
    <w:rsid w:val="00602A25"/>
    <w:rsid w:val="00632FB1"/>
    <w:rsid w:val="0064432A"/>
    <w:rsid w:val="00651DB0"/>
    <w:rsid w:val="00656E44"/>
    <w:rsid w:val="006644BE"/>
    <w:rsid w:val="006A2E2C"/>
    <w:rsid w:val="00703963"/>
    <w:rsid w:val="007365C6"/>
    <w:rsid w:val="007418AD"/>
    <w:rsid w:val="0074252C"/>
    <w:rsid w:val="007518E7"/>
    <w:rsid w:val="0075410E"/>
    <w:rsid w:val="00766388"/>
    <w:rsid w:val="00772DBF"/>
    <w:rsid w:val="0077469D"/>
    <w:rsid w:val="00777D81"/>
    <w:rsid w:val="00790244"/>
    <w:rsid w:val="00792667"/>
    <w:rsid w:val="00794AA8"/>
    <w:rsid w:val="007952DB"/>
    <w:rsid w:val="007B4F25"/>
    <w:rsid w:val="007B73E1"/>
    <w:rsid w:val="007D34BE"/>
    <w:rsid w:val="007D52DC"/>
    <w:rsid w:val="007E10A6"/>
    <w:rsid w:val="007E599D"/>
    <w:rsid w:val="007E6220"/>
    <w:rsid w:val="007E62F4"/>
    <w:rsid w:val="007F463E"/>
    <w:rsid w:val="007F797E"/>
    <w:rsid w:val="008550FE"/>
    <w:rsid w:val="00895F38"/>
    <w:rsid w:val="008A62BE"/>
    <w:rsid w:val="008C38CF"/>
    <w:rsid w:val="008D2225"/>
    <w:rsid w:val="008D3066"/>
    <w:rsid w:val="008E08BB"/>
    <w:rsid w:val="008E658D"/>
    <w:rsid w:val="008F5D69"/>
    <w:rsid w:val="00922E96"/>
    <w:rsid w:val="00930A14"/>
    <w:rsid w:val="00941ABA"/>
    <w:rsid w:val="00946169"/>
    <w:rsid w:val="00946EAD"/>
    <w:rsid w:val="00965597"/>
    <w:rsid w:val="0097153C"/>
    <w:rsid w:val="00976A7C"/>
    <w:rsid w:val="00983AE6"/>
    <w:rsid w:val="009B03C4"/>
    <w:rsid w:val="009C1395"/>
    <w:rsid w:val="009C6163"/>
    <w:rsid w:val="009D2254"/>
    <w:rsid w:val="009E62D3"/>
    <w:rsid w:val="00A370EF"/>
    <w:rsid w:val="00A51CBC"/>
    <w:rsid w:val="00A64E2C"/>
    <w:rsid w:val="00A87049"/>
    <w:rsid w:val="00AA4756"/>
    <w:rsid w:val="00AB1470"/>
    <w:rsid w:val="00AB4B7A"/>
    <w:rsid w:val="00AB7027"/>
    <w:rsid w:val="00AD00D8"/>
    <w:rsid w:val="00AD37F1"/>
    <w:rsid w:val="00AD4EB2"/>
    <w:rsid w:val="00AF639F"/>
    <w:rsid w:val="00B06BDD"/>
    <w:rsid w:val="00B26375"/>
    <w:rsid w:val="00B26D0C"/>
    <w:rsid w:val="00B426BB"/>
    <w:rsid w:val="00B47FA0"/>
    <w:rsid w:val="00B61A55"/>
    <w:rsid w:val="00B63604"/>
    <w:rsid w:val="00B74F11"/>
    <w:rsid w:val="00B75425"/>
    <w:rsid w:val="00B822A7"/>
    <w:rsid w:val="00B8418E"/>
    <w:rsid w:val="00BC37D0"/>
    <w:rsid w:val="00BC6954"/>
    <w:rsid w:val="00BC7FC5"/>
    <w:rsid w:val="00C17A4C"/>
    <w:rsid w:val="00C23829"/>
    <w:rsid w:val="00C354C9"/>
    <w:rsid w:val="00C47A0A"/>
    <w:rsid w:val="00C70DEE"/>
    <w:rsid w:val="00C712B4"/>
    <w:rsid w:val="00C8466A"/>
    <w:rsid w:val="00C853F1"/>
    <w:rsid w:val="00CD20BC"/>
    <w:rsid w:val="00CF2089"/>
    <w:rsid w:val="00D21526"/>
    <w:rsid w:val="00D2787F"/>
    <w:rsid w:val="00D32AAF"/>
    <w:rsid w:val="00D34093"/>
    <w:rsid w:val="00D4706D"/>
    <w:rsid w:val="00D5154B"/>
    <w:rsid w:val="00D72C0B"/>
    <w:rsid w:val="00D80217"/>
    <w:rsid w:val="00DB615B"/>
    <w:rsid w:val="00DF67A7"/>
    <w:rsid w:val="00E0496A"/>
    <w:rsid w:val="00E2099D"/>
    <w:rsid w:val="00E47879"/>
    <w:rsid w:val="00E679B2"/>
    <w:rsid w:val="00E735B2"/>
    <w:rsid w:val="00F01C2C"/>
    <w:rsid w:val="00F13E8D"/>
    <w:rsid w:val="00F176AF"/>
    <w:rsid w:val="00F242F7"/>
    <w:rsid w:val="00F57182"/>
    <w:rsid w:val="00F65D67"/>
    <w:rsid w:val="00F72046"/>
    <w:rsid w:val="00F76D6A"/>
    <w:rsid w:val="00F91F6A"/>
    <w:rsid w:val="00FB5113"/>
    <w:rsid w:val="00FE1B52"/>
    <w:rsid w:val="00FF0B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382CB"/>
  <w15:chartTrackingRefBased/>
  <w15:docId w15:val="{0326ED1B-6218-4511-9C34-2C75782A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olor w:val="17202A"/>
      <w:sz w:val="22"/>
    </w:rPr>
  </w:style>
  <w:style w:type="paragraph" w:styleId="Ttulo1">
    <w:name w:val="heading 1"/>
    <w:basedOn w:val="Normal"/>
    <w:next w:val="Normal"/>
    <w:link w:val="Ttulo1Char"/>
    <w:uiPriority w:val="9"/>
    <w:qFormat/>
    <w:rsid w:val="00B26D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C47A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87AEB"/>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087AEB"/>
  </w:style>
  <w:style w:type="paragraph" w:styleId="Rodap">
    <w:name w:val="footer"/>
    <w:basedOn w:val="Normal"/>
    <w:link w:val="RodapChar"/>
    <w:uiPriority w:val="99"/>
    <w:unhideWhenUsed/>
    <w:rsid w:val="00087AEB"/>
    <w:pPr>
      <w:tabs>
        <w:tab w:val="center" w:pos="4513"/>
        <w:tab w:val="right" w:pos="9026"/>
      </w:tabs>
      <w:spacing w:after="0" w:line="240" w:lineRule="auto"/>
    </w:pPr>
  </w:style>
  <w:style w:type="character" w:customStyle="1" w:styleId="RodapChar">
    <w:name w:val="Rodapé Char"/>
    <w:basedOn w:val="Fontepargpadro"/>
    <w:link w:val="Rodap"/>
    <w:uiPriority w:val="99"/>
    <w:rsid w:val="00087AEB"/>
  </w:style>
  <w:style w:type="paragraph" w:styleId="NormalWeb">
    <w:name w:val="Normal (Web)"/>
    <w:basedOn w:val="Normal"/>
    <w:uiPriority w:val="99"/>
    <w:unhideWhenUsed/>
    <w:rsid w:val="00087AEB"/>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087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712B4"/>
    <w:pPr>
      <w:ind w:left="720"/>
      <w:contextualSpacing/>
    </w:pPr>
  </w:style>
  <w:style w:type="character" w:styleId="Forte">
    <w:name w:val="Strong"/>
    <w:basedOn w:val="Fontepargpadro"/>
    <w:uiPriority w:val="22"/>
    <w:qFormat/>
    <w:rsid w:val="002C62AC"/>
    <w:rPr>
      <w:b/>
      <w:bCs/>
    </w:rPr>
  </w:style>
  <w:style w:type="character" w:styleId="Hyperlink">
    <w:name w:val="Hyperlink"/>
    <w:basedOn w:val="Fontepargpadro"/>
    <w:uiPriority w:val="99"/>
    <w:unhideWhenUsed/>
    <w:rsid w:val="00B61A55"/>
    <w:rPr>
      <w:color w:val="0563C1" w:themeColor="hyperlink"/>
      <w:u w:val="single"/>
    </w:rPr>
  </w:style>
  <w:style w:type="character" w:customStyle="1" w:styleId="Ttulo1Char">
    <w:name w:val="Título 1 Char"/>
    <w:basedOn w:val="Fontepargpadro"/>
    <w:link w:val="Ttulo1"/>
    <w:uiPriority w:val="9"/>
    <w:rsid w:val="00B26D0C"/>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B26D0C"/>
    <w:pPr>
      <w:outlineLvl w:val="9"/>
    </w:pPr>
    <w:rPr>
      <w:lang w:eastAsia="pt-BR"/>
    </w:rPr>
  </w:style>
  <w:style w:type="paragraph" w:styleId="Sumrio1">
    <w:name w:val="toc 1"/>
    <w:basedOn w:val="Normal"/>
    <w:next w:val="Normal"/>
    <w:autoRedefine/>
    <w:uiPriority w:val="39"/>
    <w:unhideWhenUsed/>
    <w:rsid w:val="00B26D0C"/>
    <w:pPr>
      <w:spacing w:after="100"/>
    </w:pPr>
  </w:style>
  <w:style w:type="character" w:customStyle="1" w:styleId="Ttulo3Char">
    <w:name w:val="Título 3 Char"/>
    <w:basedOn w:val="Fontepargpadro"/>
    <w:link w:val="Ttulo3"/>
    <w:uiPriority w:val="9"/>
    <w:semiHidden/>
    <w:rsid w:val="00C47A0A"/>
    <w:rPr>
      <w:rFonts w:asciiTheme="majorHAnsi" w:eastAsiaTheme="majorEastAsia" w:hAnsiTheme="majorHAnsi" w:cstheme="majorBidi"/>
      <w:color w:val="1F4D78" w:themeColor="accent1" w:themeShade="7F"/>
      <w:sz w:val="24"/>
      <w:szCs w:val="24"/>
    </w:rPr>
  </w:style>
  <w:style w:type="paragraph" w:styleId="Sumrio2">
    <w:name w:val="toc 2"/>
    <w:basedOn w:val="Normal"/>
    <w:next w:val="Normal"/>
    <w:autoRedefine/>
    <w:uiPriority w:val="39"/>
    <w:unhideWhenUsed/>
    <w:rsid w:val="00C47A0A"/>
    <w:pPr>
      <w:spacing w:after="100"/>
      <w:ind w:left="220"/>
    </w:pPr>
  </w:style>
  <w:style w:type="paragraph" w:styleId="Sumrio3">
    <w:name w:val="toc 3"/>
    <w:basedOn w:val="Normal"/>
    <w:next w:val="Normal"/>
    <w:autoRedefine/>
    <w:uiPriority w:val="39"/>
    <w:unhideWhenUsed/>
    <w:rsid w:val="00C47A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2355">
      <w:bodyDiv w:val="1"/>
      <w:marLeft w:val="0"/>
      <w:marRight w:val="0"/>
      <w:marTop w:val="0"/>
      <w:marBottom w:val="0"/>
      <w:divBdr>
        <w:top w:val="none" w:sz="0" w:space="0" w:color="auto"/>
        <w:left w:val="none" w:sz="0" w:space="0" w:color="auto"/>
        <w:bottom w:val="none" w:sz="0" w:space="0" w:color="auto"/>
        <w:right w:val="none" w:sz="0" w:space="0" w:color="auto"/>
      </w:divBdr>
    </w:div>
    <w:div w:id="203519506">
      <w:bodyDiv w:val="1"/>
      <w:marLeft w:val="0"/>
      <w:marRight w:val="0"/>
      <w:marTop w:val="0"/>
      <w:marBottom w:val="0"/>
      <w:divBdr>
        <w:top w:val="none" w:sz="0" w:space="0" w:color="auto"/>
        <w:left w:val="none" w:sz="0" w:space="0" w:color="auto"/>
        <w:bottom w:val="none" w:sz="0" w:space="0" w:color="auto"/>
        <w:right w:val="none" w:sz="0" w:space="0" w:color="auto"/>
      </w:divBdr>
    </w:div>
    <w:div w:id="235558443">
      <w:bodyDiv w:val="1"/>
      <w:marLeft w:val="0"/>
      <w:marRight w:val="0"/>
      <w:marTop w:val="0"/>
      <w:marBottom w:val="0"/>
      <w:divBdr>
        <w:top w:val="none" w:sz="0" w:space="0" w:color="auto"/>
        <w:left w:val="none" w:sz="0" w:space="0" w:color="auto"/>
        <w:bottom w:val="none" w:sz="0" w:space="0" w:color="auto"/>
        <w:right w:val="none" w:sz="0" w:space="0" w:color="auto"/>
      </w:divBdr>
    </w:div>
    <w:div w:id="281420377">
      <w:bodyDiv w:val="1"/>
      <w:marLeft w:val="0"/>
      <w:marRight w:val="0"/>
      <w:marTop w:val="0"/>
      <w:marBottom w:val="0"/>
      <w:divBdr>
        <w:top w:val="none" w:sz="0" w:space="0" w:color="auto"/>
        <w:left w:val="none" w:sz="0" w:space="0" w:color="auto"/>
        <w:bottom w:val="none" w:sz="0" w:space="0" w:color="auto"/>
        <w:right w:val="none" w:sz="0" w:space="0" w:color="auto"/>
      </w:divBdr>
    </w:div>
    <w:div w:id="320277470">
      <w:bodyDiv w:val="1"/>
      <w:marLeft w:val="0"/>
      <w:marRight w:val="0"/>
      <w:marTop w:val="0"/>
      <w:marBottom w:val="0"/>
      <w:divBdr>
        <w:top w:val="none" w:sz="0" w:space="0" w:color="auto"/>
        <w:left w:val="none" w:sz="0" w:space="0" w:color="auto"/>
        <w:bottom w:val="none" w:sz="0" w:space="0" w:color="auto"/>
        <w:right w:val="none" w:sz="0" w:space="0" w:color="auto"/>
      </w:divBdr>
    </w:div>
    <w:div w:id="338235996">
      <w:bodyDiv w:val="1"/>
      <w:marLeft w:val="0"/>
      <w:marRight w:val="0"/>
      <w:marTop w:val="0"/>
      <w:marBottom w:val="0"/>
      <w:divBdr>
        <w:top w:val="none" w:sz="0" w:space="0" w:color="auto"/>
        <w:left w:val="none" w:sz="0" w:space="0" w:color="auto"/>
        <w:bottom w:val="none" w:sz="0" w:space="0" w:color="auto"/>
        <w:right w:val="none" w:sz="0" w:space="0" w:color="auto"/>
      </w:divBdr>
    </w:div>
    <w:div w:id="412969404">
      <w:bodyDiv w:val="1"/>
      <w:marLeft w:val="0"/>
      <w:marRight w:val="0"/>
      <w:marTop w:val="0"/>
      <w:marBottom w:val="0"/>
      <w:divBdr>
        <w:top w:val="none" w:sz="0" w:space="0" w:color="auto"/>
        <w:left w:val="none" w:sz="0" w:space="0" w:color="auto"/>
        <w:bottom w:val="none" w:sz="0" w:space="0" w:color="auto"/>
        <w:right w:val="none" w:sz="0" w:space="0" w:color="auto"/>
      </w:divBdr>
    </w:div>
    <w:div w:id="455610875">
      <w:bodyDiv w:val="1"/>
      <w:marLeft w:val="0"/>
      <w:marRight w:val="0"/>
      <w:marTop w:val="0"/>
      <w:marBottom w:val="0"/>
      <w:divBdr>
        <w:top w:val="none" w:sz="0" w:space="0" w:color="auto"/>
        <w:left w:val="none" w:sz="0" w:space="0" w:color="auto"/>
        <w:bottom w:val="none" w:sz="0" w:space="0" w:color="auto"/>
        <w:right w:val="none" w:sz="0" w:space="0" w:color="auto"/>
      </w:divBdr>
    </w:div>
    <w:div w:id="472528612">
      <w:bodyDiv w:val="1"/>
      <w:marLeft w:val="0"/>
      <w:marRight w:val="0"/>
      <w:marTop w:val="0"/>
      <w:marBottom w:val="0"/>
      <w:divBdr>
        <w:top w:val="none" w:sz="0" w:space="0" w:color="auto"/>
        <w:left w:val="none" w:sz="0" w:space="0" w:color="auto"/>
        <w:bottom w:val="none" w:sz="0" w:space="0" w:color="auto"/>
        <w:right w:val="none" w:sz="0" w:space="0" w:color="auto"/>
      </w:divBdr>
    </w:div>
    <w:div w:id="524293606">
      <w:bodyDiv w:val="1"/>
      <w:marLeft w:val="0"/>
      <w:marRight w:val="0"/>
      <w:marTop w:val="0"/>
      <w:marBottom w:val="0"/>
      <w:divBdr>
        <w:top w:val="none" w:sz="0" w:space="0" w:color="auto"/>
        <w:left w:val="none" w:sz="0" w:space="0" w:color="auto"/>
        <w:bottom w:val="none" w:sz="0" w:space="0" w:color="auto"/>
        <w:right w:val="none" w:sz="0" w:space="0" w:color="auto"/>
      </w:divBdr>
    </w:div>
    <w:div w:id="533082139">
      <w:bodyDiv w:val="1"/>
      <w:marLeft w:val="0"/>
      <w:marRight w:val="0"/>
      <w:marTop w:val="0"/>
      <w:marBottom w:val="0"/>
      <w:divBdr>
        <w:top w:val="none" w:sz="0" w:space="0" w:color="auto"/>
        <w:left w:val="none" w:sz="0" w:space="0" w:color="auto"/>
        <w:bottom w:val="none" w:sz="0" w:space="0" w:color="auto"/>
        <w:right w:val="none" w:sz="0" w:space="0" w:color="auto"/>
      </w:divBdr>
    </w:div>
    <w:div w:id="618030669">
      <w:bodyDiv w:val="1"/>
      <w:marLeft w:val="0"/>
      <w:marRight w:val="0"/>
      <w:marTop w:val="0"/>
      <w:marBottom w:val="0"/>
      <w:divBdr>
        <w:top w:val="none" w:sz="0" w:space="0" w:color="auto"/>
        <w:left w:val="none" w:sz="0" w:space="0" w:color="auto"/>
        <w:bottom w:val="none" w:sz="0" w:space="0" w:color="auto"/>
        <w:right w:val="none" w:sz="0" w:space="0" w:color="auto"/>
      </w:divBdr>
    </w:div>
    <w:div w:id="623316708">
      <w:bodyDiv w:val="1"/>
      <w:marLeft w:val="0"/>
      <w:marRight w:val="0"/>
      <w:marTop w:val="0"/>
      <w:marBottom w:val="0"/>
      <w:divBdr>
        <w:top w:val="none" w:sz="0" w:space="0" w:color="auto"/>
        <w:left w:val="none" w:sz="0" w:space="0" w:color="auto"/>
        <w:bottom w:val="none" w:sz="0" w:space="0" w:color="auto"/>
        <w:right w:val="none" w:sz="0" w:space="0" w:color="auto"/>
      </w:divBdr>
    </w:div>
    <w:div w:id="831069532">
      <w:bodyDiv w:val="1"/>
      <w:marLeft w:val="0"/>
      <w:marRight w:val="0"/>
      <w:marTop w:val="0"/>
      <w:marBottom w:val="0"/>
      <w:divBdr>
        <w:top w:val="none" w:sz="0" w:space="0" w:color="auto"/>
        <w:left w:val="none" w:sz="0" w:space="0" w:color="auto"/>
        <w:bottom w:val="none" w:sz="0" w:space="0" w:color="auto"/>
        <w:right w:val="none" w:sz="0" w:space="0" w:color="auto"/>
      </w:divBdr>
    </w:div>
    <w:div w:id="894705533">
      <w:bodyDiv w:val="1"/>
      <w:marLeft w:val="0"/>
      <w:marRight w:val="0"/>
      <w:marTop w:val="0"/>
      <w:marBottom w:val="0"/>
      <w:divBdr>
        <w:top w:val="none" w:sz="0" w:space="0" w:color="auto"/>
        <w:left w:val="none" w:sz="0" w:space="0" w:color="auto"/>
        <w:bottom w:val="none" w:sz="0" w:space="0" w:color="auto"/>
        <w:right w:val="none" w:sz="0" w:space="0" w:color="auto"/>
      </w:divBdr>
    </w:div>
    <w:div w:id="943269959">
      <w:bodyDiv w:val="1"/>
      <w:marLeft w:val="0"/>
      <w:marRight w:val="0"/>
      <w:marTop w:val="0"/>
      <w:marBottom w:val="0"/>
      <w:divBdr>
        <w:top w:val="none" w:sz="0" w:space="0" w:color="auto"/>
        <w:left w:val="none" w:sz="0" w:space="0" w:color="auto"/>
        <w:bottom w:val="none" w:sz="0" w:space="0" w:color="auto"/>
        <w:right w:val="none" w:sz="0" w:space="0" w:color="auto"/>
      </w:divBdr>
    </w:div>
    <w:div w:id="983121167">
      <w:bodyDiv w:val="1"/>
      <w:marLeft w:val="0"/>
      <w:marRight w:val="0"/>
      <w:marTop w:val="0"/>
      <w:marBottom w:val="0"/>
      <w:divBdr>
        <w:top w:val="none" w:sz="0" w:space="0" w:color="auto"/>
        <w:left w:val="none" w:sz="0" w:space="0" w:color="auto"/>
        <w:bottom w:val="none" w:sz="0" w:space="0" w:color="auto"/>
        <w:right w:val="none" w:sz="0" w:space="0" w:color="auto"/>
      </w:divBdr>
    </w:div>
    <w:div w:id="986980903">
      <w:bodyDiv w:val="1"/>
      <w:marLeft w:val="0"/>
      <w:marRight w:val="0"/>
      <w:marTop w:val="0"/>
      <w:marBottom w:val="0"/>
      <w:divBdr>
        <w:top w:val="none" w:sz="0" w:space="0" w:color="auto"/>
        <w:left w:val="none" w:sz="0" w:space="0" w:color="auto"/>
        <w:bottom w:val="none" w:sz="0" w:space="0" w:color="auto"/>
        <w:right w:val="none" w:sz="0" w:space="0" w:color="auto"/>
      </w:divBdr>
    </w:div>
    <w:div w:id="1097752029">
      <w:bodyDiv w:val="1"/>
      <w:marLeft w:val="0"/>
      <w:marRight w:val="0"/>
      <w:marTop w:val="0"/>
      <w:marBottom w:val="0"/>
      <w:divBdr>
        <w:top w:val="none" w:sz="0" w:space="0" w:color="auto"/>
        <w:left w:val="none" w:sz="0" w:space="0" w:color="auto"/>
        <w:bottom w:val="none" w:sz="0" w:space="0" w:color="auto"/>
        <w:right w:val="none" w:sz="0" w:space="0" w:color="auto"/>
      </w:divBdr>
    </w:div>
    <w:div w:id="1217274844">
      <w:bodyDiv w:val="1"/>
      <w:marLeft w:val="0"/>
      <w:marRight w:val="0"/>
      <w:marTop w:val="0"/>
      <w:marBottom w:val="0"/>
      <w:divBdr>
        <w:top w:val="none" w:sz="0" w:space="0" w:color="auto"/>
        <w:left w:val="none" w:sz="0" w:space="0" w:color="auto"/>
        <w:bottom w:val="none" w:sz="0" w:space="0" w:color="auto"/>
        <w:right w:val="none" w:sz="0" w:space="0" w:color="auto"/>
      </w:divBdr>
    </w:div>
    <w:div w:id="1497652742">
      <w:bodyDiv w:val="1"/>
      <w:marLeft w:val="0"/>
      <w:marRight w:val="0"/>
      <w:marTop w:val="0"/>
      <w:marBottom w:val="0"/>
      <w:divBdr>
        <w:top w:val="none" w:sz="0" w:space="0" w:color="auto"/>
        <w:left w:val="none" w:sz="0" w:space="0" w:color="auto"/>
        <w:bottom w:val="none" w:sz="0" w:space="0" w:color="auto"/>
        <w:right w:val="none" w:sz="0" w:space="0" w:color="auto"/>
      </w:divBdr>
    </w:div>
    <w:div w:id="1601062681">
      <w:bodyDiv w:val="1"/>
      <w:marLeft w:val="0"/>
      <w:marRight w:val="0"/>
      <w:marTop w:val="0"/>
      <w:marBottom w:val="0"/>
      <w:divBdr>
        <w:top w:val="none" w:sz="0" w:space="0" w:color="auto"/>
        <w:left w:val="none" w:sz="0" w:space="0" w:color="auto"/>
        <w:bottom w:val="none" w:sz="0" w:space="0" w:color="auto"/>
        <w:right w:val="none" w:sz="0" w:space="0" w:color="auto"/>
      </w:divBdr>
    </w:div>
    <w:div w:id="1707218016">
      <w:bodyDiv w:val="1"/>
      <w:marLeft w:val="0"/>
      <w:marRight w:val="0"/>
      <w:marTop w:val="0"/>
      <w:marBottom w:val="0"/>
      <w:divBdr>
        <w:top w:val="none" w:sz="0" w:space="0" w:color="auto"/>
        <w:left w:val="none" w:sz="0" w:space="0" w:color="auto"/>
        <w:bottom w:val="none" w:sz="0" w:space="0" w:color="auto"/>
        <w:right w:val="none" w:sz="0" w:space="0" w:color="auto"/>
      </w:divBdr>
    </w:div>
    <w:div w:id="2050180959">
      <w:bodyDiv w:val="1"/>
      <w:marLeft w:val="0"/>
      <w:marRight w:val="0"/>
      <w:marTop w:val="0"/>
      <w:marBottom w:val="0"/>
      <w:divBdr>
        <w:top w:val="none" w:sz="0" w:space="0" w:color="auto"/>
        <w:left w:val="none" w:sz="0" w:space="0" w:color="auto"/>
        <w:bottom w:val="none" w:sz="0" w:space="0" w:color="auto"/>
        <w:right w:val="none" w:sz="0" w:space="0" w:color="auto"/>
      </w:divBdr>
    </w:div>
    <w:div w:id="2116168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c40b35-1b34-4d8f-872d-a24a4a94ba0d">
      <Terms xmlns="http://schemas.microsoft.com/office/infopath/2007/PartnerControls"/>
    </lcf76f155ced4ddcb4097134ff3c332f>
    <TaxCatchAll xmlns="44bd6755-352e-4e8e-b4d8-f037c5a5cd0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100026B99C4334F92ADDC211D07BCE8" ma:contentTypeVersion="17" ma:contentTypeDescription="Crie um novo documento." ma:contentTypeScope="" ma:versionID="dc9b17d037c2d8c3f8a205c2055ee68f">
  <xsd:schema xmlns:xsd="http://www.w3.org/2001/XMLSchema" xmlns:xs="http://www.w3.org/2001/XMLSchema" xmlns:p="http://schemas.microsoft.com/office/2006/metadata/properties" xmlns:ns2="49c40b35-1b34-4d8f-872d-a24a4a94ba0d" xmlns:ns3="44bd6755-352e-4e8e-b4d8-f037c5a5cd00" targetNamespace="http://schemas.microsoft.com/office/2006/metadata/properties" ma:root="true" ma:fieldsID="540a8afa10444c9f8e62a2173c9d3d1a" ns2:_="" ns3:_="">
    <xsd:import namespace="49c40b35-1b34-4d8f-872d-a24a4a94ba0d"/>
    <xsd:import namespace="44bd6755-352e-4e8e-b4d8-f037c5a5cd00"/>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40b35-1b34-4d8f-872d-a24a4a94ba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3bdb9d7-ed06-4d6b-ab10-c9023ffd432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bd6755-352e-4e8e-b4d8-f037c5a5c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a379fad0-e3e4-457f-86fc-e9a56b650d9d}" ma:internalName="TaxCatchAll" ma:showField="CatchAllData" ma:web="44bd6755-352e-4e8e-b4d8-f037c5a5cd0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320CB-FF42-4926-9759-F6A735272D56}">
  <ds:schemaRefs>
    <ds:schemaRef ds:uri="http://schemas.microsoft.com/office/2006/metadata/properties"/>
    <ds:schemaRef ds:uri="http://schemas.microsoft.com/office/infopath/2007/PartnerControls"/>
    <ds:schemaRef ds:uri="49c40b35-1b34-4d8f-872d-a24a4a94ba0d"/>
    <ds:schemaRef ds:uri="44bd6755-352e-4e8e-b4d8-f037c5a5cd00"/>
  </ds:schemaRefs>
</ds:datastoreItem>
</file>

<file path=customXml/itemProps2.xml><?xml version="1.0" encoding="utf-8"?>
<ds:datastoreItem xmlns:ds="http://schemas.openxmlformats.org/officeDocument/2006/customXml" ds:itemID="{1C888C5B-CB03-4928-86B3-5479B6FDD256}">
  <ds:schemaRefs>
    <ds:schemaRef ds:uri="http://schemas.microsoft.com/sharepoint/v3/contenttype/forms"/>
  </ds:schemaRefs>
</ds:datastoreItem>
</file>

<file path=customXml/itemProps3.xml><?xml version="1.0" encoding="utf-8"?>
<ds:datastoreItem xmlns:ds="http://schemas.openxmlformats.org/officeDocument/2006/customXml" ds:itemID="{E9D36C72-5217-4DF1-A47D-BCEB3E64C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c40b35-1b34-4d8f-872d-a24a4a94ba0d"/>
    <ds:schemaRef ds:uri="44bd6755-352e-4e8e-b4d8-f037c5a5cd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8F188DC-D930-4387-9236-7188CDA35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Apresentação para Usuários - Sistema Financeiro e Controle de Licenças</dc:title>
  <dc:subject>Resumo funcional para usuários</dc:subject>
  <dc:creator>Projetos e Sistemas</dc:creator>
  <cp:keywords/>
  <dc:description/>
  <cp:lastModifiedBy>Gean Martins</cp:lastModifiedBy>
  <cp:revision>5</cp:revision>
  <dcterms:created xsi:type="dcterms:W3CDTF">2026-05-26T17:50:00Z</dcterms:created>
  <dcterms:modified xsi:type="dcterms:W3CDTF">2026-05-26T19:20:00Z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0x0101002100026B99C4334F92ADDC211D07BCE8</vt:lpwstr>
  </property>
  <property fmtid="{D5CDD505-2E9C-101B-9397-08002B2CF9AE}" pid="3" name="MediaServiceImageTags">
    <vt:lpwstr/>
  </property>
</Properties>
</file>