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sz w:val="36"/>
        </w:rPr>
        <w:t>저가매매 세금 시뮬레이션 요약</w:t>
      </w:r>
    </w:p>
    <w:p>
      <w:pPr>
        <w:spacing w:after="120"/>
        <w:jc w:val="center"/>
      </w:pPr>
      <w:r>
        <w:rPr>
          <w:rFonts w:ascii="맑은 고딕" w:hAnsi="맑은 고딕"/>
          <w:b w:val="0"/>
          <w:sz w:val="20"/>
        </w:rPr>
        <w:t>백송한신아파트 50B㎡(전용37B) | 2026.04 기준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1.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대상 물건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백송한신아파트 ○○동 ○○호 (50B㎡, 전용37B)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매도인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아버지 (홍○○)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매수인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딸 (홍○○)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관계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직계존비속 (특수관계인)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시가 (국토부 실거래)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2억 3,000만원 (2026.01 실거래 기준)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희망 매수가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1억 5,000만원</w:t>
            </w:r>
          </w:p>
        </w:tc>
      </w:tr>
    </w:tbl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2. 법적 근거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• 상속세 및 증여세법 제35조: 저가 양수에 따른 이익의 증여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• 동법 시행령 제26조: 시가와 대가의 차액 &gt; MIN(시가×30%, 3억원) → 과세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• 동법 제53조: 직계존비속 증여재산 공제 5,000만원 (10년 합산)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• 동법 시행령 제49조: 시가 = 평가기준일 전후 6개월 이내 실거래가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3. 매수가별 세금 시뮬레이션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시가 기준: 2억 3,000만원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/>
                <w:b/>
                <w:sz w:val="18"/>
              </w:rPr>
              <w:t>매수가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/>
                <w:sz w:val="18"/>
              </w:rPr>
              <w:t>차액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/>
                <w:sz w:val="18"/>
              </w:rPr>
              <w:t>시가30%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/>
                <w:sz w:val="18"/>
              </w:rPr>
              <w:t>과세여부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/>
                <w:sz w:val="18"/>
              </w:rPr>
              <w:t>증여재산가액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/>
                <w:sz w:val="18"/>
              </w:rPr>
              <w:t>증여세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/>
                <w:sz w:val="18"/>
              </w:rPr>
              <w:t>취득세(1.1%)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1억 5,000만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8,000만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6,900만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과세 대상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1,100만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0원*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165만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1억 6,000만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7,000만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6,900만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과세(근소)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100만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0원*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176만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/>
                <w:b/>
                <w:sz w:val="18"/>
              </w:rPr>
              <w:t>1억 6,100만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/>
                <w:sz w:val="18"/>
              </w:rPr>
              <w:t>6,900만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/>
                <w:sz w:val="18"/>
              </w:rPr>
              <w:t>6,900만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/>
                <w:sz w:val="18"/>
              </w:rPr>
              <w:t>비과세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/>
                <w:sz w:val="18"/>
              </w:rPr>
              <w:t>0원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/>
                <w:sz w:val="18"/>
              </w:rPr>
              <w:t>0원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/>
                <w:sz w:val="18"/>
              </w:rPr>
              <w:t>177만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1억 7,000만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6,000만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6,900만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비과세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0원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0원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187만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1억 8,000만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5,000만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6,900만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비과세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0원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0원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198만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2억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3,000만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6,900만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비과세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0원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0원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220만</w:t>
            </w:r>
          </w:p>
        </w:tc>
      </w:tr>
    </w:tbl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spacing w:after="120"/>
      </w:pPr>
      <w:r>
        <w:rPr>
          <w:rFonts w:ascii="맑은 고딕" w:hAnsi="맑은 고딕"/>
          <w:b w:val="0"/>
          <w:sz w:val="18"/>
        </w:rPr>
        <w:t>* 증여재산가액이 직계존비속 공제(5,000만원) 이내이므로 증여세 0원. 단, 10년 내 기존 증여 합산액 주의.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4. 권고안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✅ 안전 최저가: 1억 6,100만원 (시가의 70%) — 증여세 비과세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⚠️ 1억 5,000만원 매수 시: 증여세 자체는 0원(공제 내)이나 과세 '대상'이 되어 세무 리스크 존재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❌ 증빙 없는 저가 매수: 세무조사 시 소명 곤란, 가산세 위험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spacing w:after="120"/>
      </w:pPr>
      <w:r>
        <w:rPr>
          <w:rFonts w:ascii="맑은 고딕" w:hAnsi="맑은 고딕"/>
          <w:b w:val="0"/>
          <w:sz w:val="18"/>
        </w:rPr>
        <w:t>출처: 국토교통부 실거래가 공개시스템, 상속세 및 증여세법</w:t>
      </w:r>
    </w:p>
    <w:p>
      <w:pPr>
        <w:spacing w:after="120"/>
      </w:pPr>
      <w:r>
        <w:rPr>
          <w:rFonts w:ascii="맑은 고딕" w:hAnsi="맑은 고딕"/>
          <w:b/>
          <w:sz w:val="18"/>
        </w:rPr>
        <w:t>주의: 이 문서는 세무/법률 자문이 아닌 분석 참고 자료입니다.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