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p>
    <w:p>
      <w:pPr>
        <w:spacing w:after="200" w:before="0"/>
        <w:jc w:val="center"/>
      </w:pPr>
      <w:r>
        <w:rPr>
          <w:rFonts w:ascii="Arial" w:cs="Arial" w:eastAsia="Arial" w:hAnsi="Arial"/>
          <w:b/>
          <w:bCs/>
          <w:color w:val="1F3A5F"/>
          <w:sz w:val="56"/>
          <w:szCs w:val="56"/>
        </w:rPr>
        <w:t xml:space="preserve">MONITORING-KONZEPT</w:t>
      </w:r>
    </w:p>
    <w:p>
      <w:pPr>
        <w:spacing w:after="600" w:before="0"/>
        <w:jc w:val="center"/>
      </w:pPr>
      <w:r>
        <w:rPr>
          <w:rFonts w:ascii="Arial" w:cs="Arial" w:eastAsia="Arial" w:hAnsi="Arial"/>
          <w:color w:val="2E5FA3"/>
          <w:sz w:val="36"/>
          <w:szCs w:val="36"/>
        </w:rPr>
        <w:t xml:space="preserve">Netzwerk und Kommunikation</w:t>
      </w:r>
    </w:p>
    <w:p>
      <w:pPr>
        <w:pBdr>
          <w:top w:val="single" w:color="2E5FA3" w:sz="8" w:space="12"/>
        </w:pBdr>
        <w:spacing w:after="80" w:before="0"/>
        <w:jc w:val="center"/>
      </w:pPr>
      <w:r>
        <w:rPr>
          <w:rFonts w:ascii="Arial" w:cs="Arial" w:eastAsia="Arial" w:hAnsi="Arial"/>
          <w:i/>
          <w:iCs/>
          <w:color w:val="595959"/>
          <w:sz w:val="24"/>
          <w:szCs w:val="24"/>
        </w:rPr>
        <w:t xml:space="preserve">Für eine mittelgroße IT-Landschaft</w:t>
      </w:r>
    </w:p>
    <w:p>
      <w:pPr>
        <w:spacing w:after="1600" w:before="0"/>
        <w:jc w:val="center"/>
      </w:pPr>
      <w:r>
        <w:rPr>
          <w:rFonts w:ascii="Arial" w:cs="Arial" w:eastAsia="Arial" w:hAnsi="Arial"/>
          <w:color w:val="595959"/>
          <w:sz w:val="22"/>
          <w:szCs w:val="22"/>
        </w:rPr>
        <w:t xml:space="preserve">ca. 500.000 IP-Adressen · ca. 200.000 Endgeräte</w:t>
      </w:r>
    </w:p>
    <w:p>
      <w:pPr>
        <w:spacing w:after="60" w:before="0"/>
        <w:jc w:val="center"/>
      </w:pPr>
      <w:r>
        <w:rPr>
          <w:rFonts w:ascii="Arial" w:cs="Arial" w:eastAsia="Arial" w:hAnsi="Arial"/>
          <w:b/>
          <w:bCs/>
          <w:color w:val="1F3A5F"/>
          <w:sz w:val="22"/>
          <w:szCs w:val="22"/>
        </w:rPr>
        <w:t xml:space="preserve">Schwerpunkte</w:t>
      </w:r>
    </w:p>
    <w:p>
      <w:pPr>
        <w:spacing w:after="40" w:before="0"/>
        <w:jc w:val="center"/>
      </w:pPr>
      <w:r>
        <w:rPr>
          <w:rFonts w:ascii="Arial" w:cs="Arial" w:eastAsia="Arial" w:hAnsi="Arial"/>
          <w:color w:val="595959"/>
          <w:sz w:val="20"/>
          <w:szCs w:val="20"/>
        </w:rPr>
        <w:t xml:space="preserve">Verfügbarkeit · Performance · Sicherheit</w:t>
      </w:r>
    </w:p>
    <w:p>
      <w:pPr>
        <w:spacing w:after="40" w:before="0"/>
        <w:jc w:val="center"/>
      </w:pPr>
      <w:r>
        <w:rPr>
          <w:rFonts w:ascii="Arial" w:cs="Arial" w:eastAsia="Arial" w:hAnsi="Arial"/>
          <w:color w:val="595959"/>
          <w:sz w:val="20"/>
          <w:szCs w:val="20"/>
        </w:rPr>
        <w:t xml:space="preserve">DSGVO · BDSG · NIS2 · BSI IT-Grundschutz · BSI KRITIS-V · ISO/IEC 27001</w:t>
      </w:r>
    </w:p>
    <w:p>
      <w:pPr>
        <w:spacing w:after="2400" w:before="0"/>
        <w:jc w:val="center"/>
      </w:pPr>
      <w:r>
        <w:rPr>
          <w:rFonts w:ascii="Arial" w:cs="Arial" w:eastAsia="Arial" w:hAnsi="Arial"/>
          <w:i/>
          <w:iCs/>
          <w:color w:val="595959"/>
          <w:sz w:val="20"/>
          <w:szCs w:val="20"/>
        </w:rPr>
        <w:t xml:space="preserve">Mehrschichtige Architektur mit Expertensystemen für Erfassung, Speicherung, Korrelation und Kontextualisierung (ServiceNow ESM/ITOM)</w:t>
      </w:r>
    </w:p>
    <w:p>
      <w:pPr>
        <w:spacing w:after="0" w:before="0"/>
        <w:jc w:val="center"/>
      </w:pPr>
      <w:r>
        <w:rPr>
          <w:rFonts w:ascii="Arial" w:cs="Arial" w:eastAsia="Arial" w:hAnsi="Arial"/>
          <w:color w:val="595959"/>
          <w:sz w:val="18"/>
          <w:szCs w:val="18"/>
        </w:rPr>
        <w:t xml:space="preserve">Stand: Arbeitsversion zur internen Abstimmung</w:t>
      </w:r>
    </w:p>
    <w:p>
      <w:pPr>
        <w:spacing w:after="0" w:before="40"/>
        <w:jc w:val="center"/>
      </w:pPr>
      <w:r>
        <w:rPr>
          <w:rFonts w:ascii="Arial" w:cs="Arial" w:eastAsia="Arial" w:hAnsi="Arial"/>
          <w:color w:val="595959"/>
          <w:sz w:val="18"/>
          <w:szCs w:val="18"/>
        </w:rPr>
        <w:t xml:space="preserve">Juni 2026</w:t>
      </w:r>
    </w:p>
    <w:p>
      <w:pPr>
        <w:sectPr>
          <w:headerReference w:type="default" r:id="rId7"/>
          <w:footerReference w:type="default" r:id="rId8"/>
          <w:pgSz w:w="11906" w:h="16838" w:orient="portrait"/>
          <w:pgMar w:top="1134" w:right="1134" w:bottom="1134" w:left="1134" w:header="708" w:footer="708" w:gutter="0"/>
          <w:pgNumType/>
          <w:titlePg/>
          <w:docGrid w:linePitch="360"/>
        </w:sectPr>
      </w:pPr>
    </w:p>
    <w:p>
      <w:pPr>
        <w:pStyle w:val="Heading1"/>
      </w:pPr>
      <w:r>
        <w:t xml:space="preserve">Inhaltsverzeichnis</w:t>
      </w:r>
    </w:p>
    <w:sdt>
      <w:sdtPr>
        <w:alias w:val="Inhaltsverzeichni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Hinweis zum Dokumentstatus</w:t>
      </w:r>
    </w:p>
    <w:p>
      <w:pPr>
        <w:pBdr>
          <w:left w:val="single" w:color="B8860B" w:sz="18" w:space="8"/>
        </w:pBdr>
        <w:shd w:fill="FFF3CD" w:val="clear"/>
        <w:spacing w:after="120" w:before="120"/>
        <w:ind w:left="200" w:right="200"/>
      </w:pPr>
      <w:r>
        <w:rPr>
          <w:rFonts w:ascii="Arial" w:cs="Arial" w:eastAsia="Arial" w:hAnsi="Arial"/>
          <w:i/>
          <w:iCs/>
          <w:color w:val="000000"/>
          <w:sz w:val="21"/>
          <w:szCs w:val="21"/>
        </w:rPr>
        <w:t xml:space="preserve">Dieses Dokument ist eine Arbeitsversion, die im Rahmen eines iterativen Dialogs erstellt wurde. Es dient als Diskussionsgrundlage für die Abstimmung mit Kollegen und wird im Anschluss weiter ausgearbeitet. Einzelne Annahmen (z.B. zu Tool-Versionen, organisatorischen Strukturen, regulatorischer Einstufung) sind vor Produktivumsetzung mit den jeweils zuständigen Fachstellen zu verifizieren.</w:t>
      </w:r>
    </w:p>
    <w:p>
      <w:pPr>
        <w:spacing w:after="80" w:before="200"/>
      </w:pPr>
      <w:r>
        <w:rPr>
          <w:rFonts w:ascii="Arial" w:cs="Arial" w:eastAsia="Arial" w:hAnsi="Arial"/>
          <w:b/>
          <w:bCs/>
          <w:sz w:val="22"/>
          <w:szCs w:val="22"/>
        </w:rPr>
        <w:t xml:space="preserve">Offene Punkte für die nächste Bearbeitungsrunde</w:t>
      </w:r>
    </w:p>
    <w:p>
      <w:pPr>
        <w:pStyle w:val="ListParagraph"/>
        <w:numPr>
          <w:ilvl w:val="0"/>
          <w:numId w:val="2"/>
        </w:numPr>
        <w:spacing w:after="30" w:before="30"/>
      </w:pPr>
      <w:r>
        <w:rPr>
          <w:rFonts w:ascii="Arial" w:cs="Arial" w:eastAsia="Arial" w:hAnsi="Arial"/>
          <w:sz w:val="21"/>
          <w:szCs w:val="21"/>
        </w:rPr>
        <w:t xml:space="preserve">Kapitel 5 (Werkzeug-Auswahl) wurde inhaltlich bereits in Kapitel 3 integriert – ggf. als eigenständiges Kapitel mit Entscheidungsbegründung pro Tool nachschärfen</w:t>
      </w:r>
    </w:p>
    <w:p>
      <w:pPr>
        <w:pStyle w:val="ListParagraph"/>
        <w:numPr>
          <w:ilvl w:val="0"/>
          <w:numId w:val="2"/>
        </w:numPr>
        <w:spacing w:after="30" w:before="30"/>
      </w:pPr>
      <w:r>
        <w:rPr>
          <w:rFonts w:ascii="Arial" w:cs="Arial" w:eastAsia="Arial" w:hAnsi="Arial"/>
          <w:sz w:val="21"/>
          <w:szCs w:val="21"/>
        </w:rPr>
        <w:t xml:space="preserve">Finale Festlegung der NIS2/KRITIS-Einstufung der Organisation (wesentliche vs. wichtige Einrichtung) steht aus</w:t>
      </w:r>
    </w:p>
    <w:p>
      <w:pPr>
        <w:pStyle w:val="ListParagraph"/>
        <w:numPr>
          <w:ilvl w:val="0"/>
          <w:numId w:val="2"/>
        </w:numPr>
        <w:spacing w:after="30" w:before="30"/>
      </w:pPr>
      <w:r>
        <w:rPr>
          <w:rFonts w:ascii="Arial" w:cs="Arial" w:eastAsia="Arial" w:hAnsi="Arial"/>
          <w:sz w:val="21"/>
          <w:szCs w:val="21"/>
        </w:rPr>
        <w:t xml:space="preserve">Konkrete Lizenz- und Kostenplanung für CatchPoint/Automai/Cloud-Monitoring noch nicht quantifiziert</w:t>
      </w:r>
    </w:p>
    <w:p>
      <w:pPr>
        <w:pStyle w:val="ListParagraph"/>
        <w:numPr>
          <w:ilvl w:val="0"/>
          <w:numId w:val="2"/>
        </w:numPr>
        <w:spacing w:after="30" w:before="30"/>
      </w:pPr>
      <w:r>
        <w:rPr>
          <w:rFonts w:ascii="Arial" w:cs="Arial" w:eastAsia="Arial" w:hAnsi="Arial"/>
          <w:sz w:val="21"/>
          <w:szCs w:val="21"/>
        </w:rPr>
        <w:t xml:space="preserve">Detaillierte technische Spezifikation der ServiceNow ESM/ITOM-Konnektoren je Stack folgt in der nächsten Phase</w:t>
      </w:r>
    </w:p>
    <w:p>
      <w:pPr>
        <w:pStyle w:val="ListParagraph"/>
        <w:numPr>
          <w:ilvl w:val="0"/>
          <w:numId w:val="2"/>
        </w:numPr>
        <w:spacing w:after="30" w:before="30"/>
      </w:pPr>
      <w:r>
        <w:rPr>
          <w:rFonts w:ascii="Arial" w:cs="Arial" w:eastAsia="Arial" w:hAnsi="Arial"/>
          <w:sz w:val="21"/>
          <w:szCs w:val="21"/>
        </w:rPr>
        <w:t xml:space="preserve">Glossar und Abkürzungsverzeichnis für die finale Fassung ergänzen</w:t>
      </w:r>
    </w:p>
    <w:p>
      <w:pPr>
        <w:pStyle w:val="Heading1"/>
      </w:pPr>
      <w:r>
        <w:t xml:space="preserve">Kapitel 1: Ziele und Geltungsbereich</w:t>
      </w:r>
    </w:p>
    <w:p>
      <w:pPr>
        <w:pStyle w:val="Heading2"/>
      </w:pPr>
      <w:r>
        <w:t xml:space="preserve">1.1 Zweck des Konzepts</w:t>
      </w:r>
    </w:p>
    <w:p>
      <w:pPr>
        <w:spacing w:after="120" w:before="60"/>
      </w:pPr>
      <w:r>
        <w:rPr>
          <w:rFonts w:ascii="Arial" w:cs="Arial" w:eastAsia="Arial" w:hAnsi="Arial"/>
          <w:sz w:val="21"/>
          <w:szCs w:val="21"/>
        </w:rPr>
        <w:t xml:space="preserve">Dieses Konzept definiert die Architektur, Prozesse und Mindeststandards für das Monitoring von Netzwerk- und Kommunikationsinfrastruktur einer mittelgroßen IT-Landschaft. Es schafft eine einheitliche, rechtskonforme und skalierbare Grundlage für:</w:t>
      </w:r>
    </w:p>
    <w:p>
      <w:pPr>
        <w:pStyle w:val="ListParagraph"/>
        <w:numPr>
          <w:ilvl w:val="0"/>
          <w:numId w:val="3"/>
        </w:numPr>
        <w:spacing w:after="30" w:before="30"/>
      </w:pPr>
      <w:r>
        <w:rPr>
          <w:rFonts w:ascii="Arial" w:cs="Arial" w:eastAsia="Arial" w:hAnsi="Arial"/>
          <w:sz w:val="21"/>
          <w:szCs w:val="21"/>
        </w:rPr>
        <w:t xml:space="preserve">Verfügbarkeitsüberwachung (Topologie, Erreichbarkeit, Ausfallerkennung)</w:t>
      </w:r>
    </w:p>
    <w:p>
      <w:pPr>
        <w:pStyle w:val="ListParagraph"/>
        <w:numPr>
          <w:ilvl w:val="0"/>
          <w:numId w:val="3"/>
        </w:numPr>
        <w:spacing w:after="30" w:before="30"/>
      </w:pPr>
      <w:r>
        <w:rPr>
          <w:rFonts w:ascii="Arial" w:cs="Arial" w:eastAsia="Arial" w:hAnsi="Arial"/>
          <w:sz w:val="21"/>
          <w:szCs w:val="21"/>
        </w:rPr>
        <w:t xml:space="preserve">Performance-Überwachung (Bandbreite, Latenz, Kapazitätsplanung)</w:t>
      </w:r>
    </w:p>
    <w:p>
      <w:pPr>
        <w:pStyle w:val="ListParagraph"/>
        <w:numPr>
          <w:ilvl w:val="0"/>
          <w:numId w:val="3"/>
        </w:numPr>
        <w:spacing w:after="30" w:before="30"/>
      </w:pPr>
      <w:r>
        <w:rPr>
          <w:rFonts w:ascii="Arial" w:cs="Arial" w:eastAsia="Arial" w:hAnsi="Arial"/>
          <w:sz w:val="21"/>
          <w:szCs w:val="21"/>
        </w:rPr>
        <w:t xml:space="preserve">Sicherheitsüberwachung (Anomalieerkennung, Traffic-Analyse, Angriffserkennung)</w:t>
      </w:r>
    </w:p>
    <w:p>
      <w:pPr>
        <w:pStyle w:val="Heading2"/>
      </w:pPr>
      <w:r>
        <w:t xml:space="preserve">1.2 Geltungsbereich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c>
          <w:tcPr>
            <w:tcW w:type="dxa" w:w="321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Dimension</w:t>
            </w:r>
          </w:p>
        </w:tc>
        <w:tc>
          <w:tcPr>
            <w:tcW w:type="dxa" w:w="642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Umfang</w:t>
            </w:r>
          </w:p>
        </w:tc>
      </w:tr>
      <w:tr>
        <w:tc>
          <w:tcPr>
            <w:tcW w:type="dxa" w:w="321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Netzwerkinfrastruktur</w:t>
            </w:r>
          </w:p>
        </w:tc>
        <w:tc>
          <w:tcPr>
            <w:tcW w:type="dxa" w:w="642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 500.000 IP-Adressen (Server, Netzwerkkomponenten, IoT, Peripherie)</w:t>
            </w:r>
          </w:p>
        </w:tc>
      </w:tr>
      <w:tr>
        <w:tc>
          <w:tcPr>
            <w:tcW w:type="dxa" w:w="321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Endgeräte</w:t>
            </w:r>
          </w:p>
        </w:tc>
        <w:tc>
          <w:tcPr>
            <w:tcW w:type="dxa" w:w="642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 200.000 Notebooks (Mitarbeiter-Endgeräte)</w:t>
            </w:r>
          </w:p>
        </w:tc>
      </w:tr>
      <w:tr>
        <w:tc>
          <w:tcPr>
            <w:tcW w:type="dxa" w:w="321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Organisationsform</w:t>
            </w:r>
          </w:p>
        </w:tc>
        <w:tc>
          <w:tcPr>
            <w:tcW w:type="dxa" w:w="642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Zentrale Organisation, mehrere Standorte</w:t>
            </w:r>
          </w:p>
        </w:tc>
      </w:tr>
      <w:tr>
        <w:tc>
          <w:tcPr>
            <w:tcW w:type="dxa" w:w="321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Geografischer Geltungsbereich</w:t>
            </w:r>
          </w:p>
        </w:tc>
        <w:tc>
          <w:tcPr>
            <w:tcW w:type="dxa" w:w="642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Alle Standorte der Organisation (national/EU)</w:t>
            </w:r>
          </w:p>
        </w:tc>
      </w:tr>
      <w:tr>
        <w:tc>
          <w:tcPr>
            <w:tcW w:type="dxa" w:w="321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Klassifikation</w:t>
            </w:r>
          </w:p>
        </w:tc>
        <w:tc>
          <w:tcPr>
            <w:tcW w:type="dxa" w:w="642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Einordnung als Betreiber kritischer Infrastruktur oder wichtige/wesentliche Einrichtung nach NIS2 anzunehmen</w:t>
            </w:r>
          </w:p>
        </w:tc>
      </w:tr>
    </w:tbl>
    <w:p>
      <w:pPr>
        <w:pStyle w:val="Heading2"/>
      </w:pPr>
      <w:r>
        <w:t xml:space="preserve">1.3 Abgrenzung (Out of Scope)</w:t>
      </w:r>
    </w:p>
    <w:p>
      <w:pPr>
        <w:spacing w:after="120" w:before="60"/>
      </w:pPr>
      <w:r>
        <w:rPr>
          <w:rFonts w:ascii="Arial" w:cs="Arial" w:eastAsia="Arial" w:hAnsi="Arial"/>
          <w:sz w:val="21"/>
          <w:szCs w:val="21"/>
        </w:rPr>
        <w:t xml:space="preserve">Folgende Bereiche werden in diesem Konzept nicht behandelt, da sie eigenständige Konzepte erfordern:</w:t>
      </w:r>
    </w:p>
    <w:p>
      <w:pPr>
        <w:pStyle w:val="ListParagraph"/>
        <w:numPr>
          <w:ilvl w:val="0"/>
          <w:numId w:val="3"/>
        </w:numPr>
        <w:spacing w:after="30" w:before="30"/>
      </w:pPr>
      <w:r>
        <w:rPr>
          <w:rFonts w:ascii="Arial" w:cs="Arial" w:eastAsia="Arial" w:hAnsi="Arial"/>
          <w:sz w:val="21"/>
          <w:szCs w:val="21"/>
        </w:rPr>
        <w:t xml:space="preserve">Anwendungs-/Applikationsmonitoring (APM) – eigenes Konzept</w:t>
      </w:r>
    </w:p>
    <w:p>
      <w:pPr>
        <w:pStyle w:val="ListParagraph"/>
        <w:numPr>
          <w:ilvl w:val="0"/>
          <w:numId w:val="3"/>
        </w:numPr>
        <w:spacing w:after="30" w:before="30"/>
      </w:pPr>
      <w:r>
        <w:rPr>
          <w:rFonts w:ascii="Arial" w:cs="Arial" w:eastAsia="Arial" w:hAnsi="Arial"/>
          <w:sz w:val="21"/>
          <w:szCs w:val="21"/>
        </w:rPr>
        <w:t xml:space="preserve">Monitoring von OT/ICS-Systemen (sofern vorhanden) – eigenes KRITIS-spezifisches Konzept</w:t>
      </w:r>
    </w:p>
    <w:p>
      <w:pPr>
        <w:pStyle w:val="ListParagraph"/>
        <w:numPr>
          <w:ilvl w:val="0"/>
          <w:numId w:val="3"/>
        </w:numPr>
        <w:spacing w:after="30" w:before="30"/>
      </w:pPr>
      <w:r>
        <w:rPr>
          <w:rFonts w:ascii="Arial" w:cs="Arial" w:eastAsia="Arial" w:hAnsi="Arial"/>
          <w:sz w:val="21"/>
          <w:szCs w:val="21"/>
        </w:rPr>
        <w:t xml:space="preserve">Inhaltliche Kommunikationsüberwachung (E-Mail-Content, Messaging-Inhalte) – datenschutzrechtlich separat zu behandeln</w:t>
      </w:r>
    </w:p>
    <w:p>
      <w:pPr>
        <w:pStyle w:val="ListParagraph"/>
        <w:numPr>
          <w:ilvl w:val="0"/>
          <w:numId w:val="3"/>
        </w:numPr>
        <w:spacing w:after="30" w:before="30"/>
      </w:pPr>
      <w:r>
        <w:rPr>
          <w:rFonts w:ascii="Arial" w:cs="Arial" w:eastAsia="Arial" w:hAnsi="Arial"/>
          <w:sz w:val="21"/>
          <w:szCs w:val="21"/>
        </w:rPr>
        <w:t xml:space="preserve">Identity- und Access-Management (IAM) – eigenes Konzept, nur Schnittstelle hier relevant</w:t>
      </w:r>
    </w:p>
    <w:p>
      <w:pPr>
        <w:pStyle w:val="Heading2"/>
      </w:pPr>
      <w:r>
        <w:t xml:space="preserve">1.4 Zielgruppen des Dokuments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Zielgruppe</w:t>
            </w:r>
          </w:p>
        </w:tc>
        <w:tc>
          <w:tcPr>
            <w:tcW w:type="dxa" w:w="578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Nutzen des Konzepts</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IT-Betrieb / NOC</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Operative Grundlage für Tool-Auswahl und Prozesse</w:t>
            </w:r>
          </w:p>
        </w:tc>
      </w:tr>
      <w:tr>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CISO / Informationssicherheit</w:t>
            </w:r>
          </w:p>
        </w:tc>
        <w:tc>
          <w:tcPr>
            <w:tcW w:type="dxa" w:w="578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Nachweis der Erfüllung von NIS2/ISO 27001/BSI-Anforderungen</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Datenschutzbeauftragter</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Grundlage für Datenschutz-Folgenabschätzung (DSFA)</w:t>
            </w:r>
          </w:p>
        </w:tc>
      </w:tr>
      <w:tr>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Betriebsrat / Mitbestimmung</w:t>
            </w:r>
          </w:p>
        </w:tc>
        <w:tc>
          <w:tcPr>
            <w:tcW w:type="dxa" w:w="578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Transparenz über Art und Umfang der Mitarbeiter-Endgeräte-Überwachung</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Auditoren</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Nachweisdokument für Compliance-Prüfungen</w:t>
            </w:r>
          </w:p>
        </w:tc>
      </w:tr>
    </w:tbl>
    <w:p>
      <w:pPr>
        <w:pStyle w:val="Heading1"/>
        <w:pageBreakBefore/>
      </w:pPr>
      <w:r>
        <w:t xml:space="preserve">Kapitel 2: Rechtlicher und regulatorischer Rahmen</w:t>
      </w:r>
    </w:p>
    <w:p>
      <w:pPr>
        <w:pStyle w:val="Heading2"/>
      </w:pPr>
      <w:r>
        <w:t xml:space="preserve">2.1 Übersicht der relevanten Rechts- und Normrahmen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c>
          <w:tcPr>
            <w:tcW w:type="dxa" w:w="321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Rahmenwerk</w:t>
            </w:r>
          </w:p>
        </w:tc>
        <w:tc>
          <w:tcPr>
            <w:tcW w:type="dxa" w:w="642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Relevanz für Monitoring</w:t>
            </w:r>
          </w:p>
        </w:tc>
      </w:tr>
      <w:tr>
        <w:tc>
          <w:tcPr>
            <w:tcW w:type="dxa" w:w="321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DSGVO</w:t>
            </w:r>
          </w:p>
        </w:tc>
        <w:tc>
          <w:tcPr>
            <w:tcW w:type="dxa" w:w="642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Personenbezug von Endgeräte-/Netzwerkdaten, Rechtsgrundlage der Verarbeitung</w:t>
            </w:r>
          </w:p>
        </w:tc>
      </w:tr>
      <w:tr>
        <w:tc>
          <w:tcPr>
            <w:tcW w:type="dxa" w:w="321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BDSG</w:t>
            </w:r>
          </w:p>
        </w:tc>
        <w:tc>
          <w:tcPr>
            <w:tcW w:type="dxa" w:w="642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Nationale Ergänzung der DSGVO, insb. § 26 BDSG (Beschäftigtendatenschutz)</w:t>
            </w:r>
          </w:p>
        </w:tc>
      </w:tr>
      <w:tr>
        <w:tc>
          <w:tcPr>
            <w:tcW w:type="dxa" w:w="321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NIS2-Richtlinie</w:t>
            </w:r>
          </w:p>
        </w:tc>
        <w:tc>
          <w:tcPr>
            <w:tcW w:type="dxa" w:w="642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Meldepflichten, Mindestanforderungen an Risikomanagement bei Sicherheitsvorfällen</w:t>
            </w:r>
          </w:p>
        </w:tc>
      </w:tr>
      <w:tr>
        <w:tc>
          <w:tcPr>
            <w:tcW w:type="dxa" w:w="321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BSI KRITIS-Verordnung</w:t>
            </w:r>
          </w:p>
        </w:tc>
        <w:tc>
          <w:tcPr>
            <w:tcW w:type="dxa" w:w="642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Sektorspezifische Anforderungen für Betreiber kritischer Infrastruktur</w:t>
            </w:r>
          </w:p>
        </w:tc>
      </w:tr>
      <w:tr>
        <w:tc>
          <w:tcPr>
            <w:tcW w:type="dxa" w:w="321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BSI IT-Grundschutz</w:t>
            </w:r>
          </w:p>
        </w:tc>
        <w:tc>
          <w:tcPr>
            <w:tcW w:type="dxa" w:w="642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Bausteine für konkrete technische/organisatorische Umsetzung</w:t>
            </w:r>
          </w:p>
        </w:tc>
      </w:tr>
      <w:tr>
        <w:tc>
          <w:tcPr>
            <w:tcW w:type="dxa" w:w="321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ISO/IEC 27001</w:t>
            </w:r>
          </w:p>
        </w:tc>
        <w:tc>
          <w:tcPr>
            <w:tcW w:type="dxa" w:w="642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Zertifizierungsfähiges ISMS-Rahmenwerk, ergänzt BSI-Grundschutz international</w:t>
            </w:r>
          </w:p>
        </w:tc>
      </w:tr>
    </w:tbl>
    <w:p>
      <w:pPr>
        <w:pStyle w:val="Heading2"/>
      </w:pPr>
      <w:r>
        <w:t xml:space="preserve">2.2 Zusammenspiel der Rahmenwerke</w:t>
      </w:r>
    </w:p>
    <w:p>
      <w:pPr>
        <w:spacing w:after="120" w:before="60"/>
      </w:pPr>
      <w:r>
        <w:rPr>
          <w:rFonts w:ascii="Arial" w:cs="Arial" w:eastAsia="Arial" w:hAnsi="Arial"/>
          <w:sz w:val="21"/>
          <w:szCs w:val="21"/>
        </w:rPr>
        <w:t xml:space="preserve">Die Rahmenwerke sind nicht unabhängig, sondern bauen aufeinander auf bzw. überschneiden sich:</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NIS2 (EU-Richtlinie, Pflicht) definiert WAS erreicht werden muss (Risikomanagement, Meldepflichten). BSI KRITIS-Verordnung konkretisiert NIS2 national für deutsche KRITIS-Betreiber. ISO 27001 liefert ein ISMS-Rahmenwerk für Nachweisbarkeit. BSI IT-Grundschutz liefert WIE: konkrete Bausteine und Maßnahmen. DSGVO/BDSG regeln horizontal den Umgang mit personenbezogenen Daten im Monitoring selbst.</w:t>
      </w:r>
    </w:p>
    <w:p>
      <w:pPr>
        <w:pStyle w:val="Heading2"/>
      </w:pPr>
      <w:r>
        <w:t xml:space="preserve">2.3 Kernanforderungen je Rahmenwerk</w:t>
      </w:r>
    </w:p>
    <w:p>
      <w:pPr>
        <w:pStyle w:val="Heading3"/>
      </w:pPr>
      <w:r>
        <w:t xml:space="preserve">NIS2</w:t>
      </w:r>
    </w:p>
    <w:p>
      <w:pPr>
        <w:pStyle w:val="ListParagraph"/>
        <w:numPr>
          <w:ilvl w:val="0"/>
          <w:numId w:val="3"/>
        </w:numPr>
        <w:spacing w:after="30" w:before="30"/>
      </w:pPr>
      <w:r>
        <w:rPr>
          <w:rFonts w:ascii="Arial" w:cs="Arial" w:eastAsia="Arial" w:hAnsi="Arial"/>
          <w:sz w:val="21"/>
          <w:szCs w:val="21"/>
        </w:rPr>
        <w:t xml:space="preserve">Pflicht zur Erkennung von Sicherheitsvorfällen in angemessener Zeit</w:t>
      </w:r>
    </w:p>
    <w:p>
      <w:pPr>
        <w:pStyle w:val="ListParagraph"/>
        <w:numPr>
          <w:ilvl w:val="0"/>
          <w:numId w:val="3"/>
        </w:numPr>
        <w:spacing w:after="30" w:before="30"/>
      </w:pPr>
      <w:r>
        <w:rPr>
          <w:rFonts w:ascii="Arial" w:cs="Arial" w:eastAsia="Arial" w:hAnsi="Arial"/>
          <w:sz w:val="21"/>
          <w:szCs w:val="21"/>
        </w:rPr>
        <w:t xml:space="preserve">Meldepflicht bei erheblichen Sicherheitsvorfällen (Frühwarnung binnen 24h, vollständige Meldung binnen 72h)</w:t>
      </w:r>
    </w:p>
    <w:p>
      <w:pPr>
        <w:pStyle w:val="ListParagraph"/>
        <w:numPr>
          <w:ilvl w:val="0"/>
          <w:numId w:val="3"/>
        </w:numPr>
        <w:spacing w:after="30" w:before="30"/>
      </w:pPr>
      <w:r>
        <w:rPr>
          <w:rFonts w:ascii="Arial" w:cs="Arial" w:eastAsia="Arial" w:hAnsi="Arial"/>
          <w:sz w:val="21"/>
          <w:szCs w:val="21"/>
        </w:rPr>
        <w:t xml:space="preserve">Anforderung an Risikomanagement-Maßnahmen einschließlich Netzwerk- und Systemsicherheit</w:t>
      </w:r>
    </w:p>
    <w:p>
      <w:pPr>
        <w:pStyle w:val="ListParagraph"/>
        <w:numPr>
          <w:ilvl w:val="0"/>
          <w:numId w:val="3"/>
        </w:numPr>
        <w:spacing w:after="30" w:before="30"/>
      </w:pPr>
      <w:r>
        <w:rPr>
          <w:rFonts w:ascii="Arial" w:cs="Arial" w:eastAsia="Arial" w:hAnsi="Arial"/>
          <w:sz w:val="21"/>
          <w:szCs w:val="21"/>
        </w:rPr>
        <w:t xml:space="preserve">Notwendigkeit der lückenlosen Protokollierung zur Vorfallsaufklärung</w:t>
      </w:r>
    </w:p>
    <w:p>
      <w:pPr>
        <w:spacing w:after="120" w:before="60"/>
      </w:pPr>
      <w:r>
        <w:rPr>
          <w:rFonts w:ascii="Arial" w:cs="Arial" w:eastAsia="Arial" w:hAnsi="Arial"/>
          <w:i/>
          <w:iCs/>
          <w:color w:val="595959"/>
          <w:sz w:val="21"/>
          <w:szCs w:val="21"/>
        </w:rPr>
        <w:t xml:space="preserve">Konsequenz: Das Monitoring muss Sicherheitsvorfälle nicht nur erkennen, sondern auch so dokumentieren, dass die 24h/72h-Meldefristen technisch einhaltbar sind.</w:t>
      </w:r>
    </w:p>
    <w:p>
      <w:pPr>
        <w:pStyle w:val="Heading3"/>
      </w:pPr>
      <w:r>
        <w:t xml:space="preserve">BSI KRITIS-Verordnung</w:t>
      </w:r>
    </w:p>
    <w:p>
      <w:pPr>
        <w:pStyle w:val="ListParagraph"/>
        <w:numPr>
          <w:ilvl w:val="0"/>
          <w:numId w:val="3"/>
        </w:numPr>
        <w:spacing w:after="30" w:before="30"/>
      </w:pPr>
      <w:r>
        <w:rPr>
          <w:rFonts w:ascii="Arial" w:cs="Arial" w:eastAsia="Arial" w:hAnsi="Arial"/>
          <w:sz w:val="21"/>
          <w:szCs w:val="21"/>
        </w:rPr>
        <w:t xml:space="preserve">Pflicht zum Nachweis angemessener organisatorischer und technischer Vorkehrungen (§ 8a BSIG), sofern KRITIS-Betreiber</w:t>
      </w:r>
    </w:p>
    <w:p>
      <w:pPr>
        <w:pStyle w:val="ListParagraph"/>
        <w:numPr>
          <w:ilvl w:val="0"/>
          <w:numId w:val="3"/>
        </w:numPr>
        <w:spacing w:after="30" w:before="30"/>
      </w:pPr>
      <w:r>
        <w:rPr>
          <w:rFonts w:ascii="Arial" w:cs="Arial" w:eastAsia="Arial" w:hAnsi="Arial"/>
          <w:sz w:val="21"/>
          <w:szCs w:val="21"/>
        </w:rPr>
        <w:t xml:space="preserve">Regelmäßige Nachweispflicht (alle 2 Jahre) gegenüber dem BSI</w:t>
      </w:r>
    </w:p>
    <w:p>
      <w:pPr>
        <w:pStyle w:val="Heading3"/>
      </w:pPr>
      <w:r>
        <w:t xml:space="preserve">BSI IT-Grundschutz (relevante Bausteine)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6961"/>
      </w:tblGrid>
      <w:tr>
        <w:tc>
          <w:tcPr>
            <w:tcW w:type="dxa" w:w="267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Baustein</w:t>
            </w:r>
          </w:p>
        </w:tc>
        <w:tc>
          <w:tcPr>
            <w:tcW w:type="dxa" w:w="696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Bezug zum Monitoring</w:t>
            </w:r>
          </w:p>
        </w:tc>
      </w:tr>
      <w:tr>
        <w:tc>
          <w:tcPr>
            <w:tcW w:type="dxa" w:w="267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NET.1.1</w:t>
            </w:r>
          </w:p>
        </w:tc>
        <w:tc>
          <w:tcPr>
            <w:tcW w:type="dxa" w:w="696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Netzarchitektur und -design – Grundlage für Monitoring-Topologie</w:t>
            </w:r>
          </w:p>
        </w:tc>
      </w:tr>
      <w:tr>
        <w:tc>
          <w:tcPr>
            <w:tcW w:type="dxa" w:w="267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OPS.1.1.5</w:t>
            </w:r>
          </w:p>
        </w:tc>
        <w:tc>
          <w:tcPr>
            <w:tcW w:type="dxa" w:w="696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Protokollierung – Mindeststandards für Logging</w:t>
            </w:r>
          </w:p>
        </w:tc>
      </w:tr>
      <w:tr>
        <w:tc>
          <w:tcPr>
            <w:tcW w:type="dxa" w:w="267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DER.1</w:t>
            </w:r>
          </w:p>
        </w:tc>
        <w:tc>
          <w:tcPr>
            <w:tcW w:type="dxa" w:w="696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Detektion von sicherheitsrelevanten Ereignissen</w:t>
            </w:r>
          </w:p>
        </w:tc>
      </w:tr>
      <w:tr>
        <w:tc>
          <w:tcPr>
            <w:tcW w:type="dxa" w:w="267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DER.2.1</w:t>
            </w:r>
          </w:p>
        </w:tc>
        <w:tc>
          <w:tcPr>
            <w:tcW w:type="dxa" w:w="696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Behandlung von Sicherheitsvorfällen – Schnittstelle zu Incident Response</w:t>
            </w:r>
          </w:p>
        </w:tc>
      </w:tr>
    </w:tbl>
    <w:p>
      <w:pPr>
        <w:pStyle w:val="Heading3"/>
      </w:pPr>
      <w:r>
        <w:t xml:space="preserve">ISO/IEC 27001</w:t>
      </w:r>
    </w:p>
    <w:p>
      <w:pPr>
        <w:pStyle w:val="ListParagraph"/>
        <w:numPr>
          <w:ilvl w:val="0"/>
          <w:numId w:val="3"/>
        </w:numPr>
        <w:spacing w:after="30" w:before="30"/>
      </w:pPr>
      <w:r>
        <w:rPr>
          <w:rFonts w:ascii="Arial" w:cs="Arial" w:eastAsia="Arial" w:hAnsi="Arial"/>
          <w:sz w:val="21"/>
          <w:szCs w:val="21"/>
        </w:rPr>
        <w:t xml:space="preserve">Anhang A Control A.8.16 (Monitoring activities) – explizite Forderung nach Monitoring-Aktivitäten</w:t>
      </w:r>
    </w:p>
    <w:p>
      <w:pPr>
        <w:pStyle w:val="ListParagraph"/>
        <w:numPr>
          <w:ilvl w:val="0"/>
          <w:numId w:val="3"/>
        </w:numPr>
        <w:spacing w:after="30" w:before="30"/>
      </w:pPr>
      <w:r>
        <w:rPr>
          <w:rFonts w:ascii="Arial" w:cs="Arial" w:eastAsia="Arial" w:hAnsi="Arial"/>
          <w:sz w:val="21"/>
          <w:szCs w:val="21"/>
        </w:rPr>
        <w:t xml:space="preserve">Control A.5.28 (Collection of evidence) – Beweissicherung, relevant für Log-Aufbewahrung</w:t>
      </w:r>
    </w:p>
    <w:p>
      <w:pPr>
        <w:pStyle w:val="ListParagraph"/>
        <w:numPr>
          <w:ilvl w:val="0"/>
          <w:numId w:val="3"/>
        </w:numPr>
        <w:spacing w:after="30" w:before="30"/>
      </w:pPr>
      <w:r>
        <w:rPr>
          <w:rFonts w:ascii="Arial" w:cs="Arial" w:eastAsia="Arial" w:hAnsi="Arial"/>
          <w:sz w:val="21"/>
          <w:szCs w:val="21"/>
        </w:rPr>
        <w:t xml:space="preserve">Risikobasierter Ansatz: Monitoring-Umfang muss aus der Risikobewertung abgeleitet sein</w:t>
      </w:r>
    </w:p>
    <w:p>
      <w:pPr>
        <w:pStyle w:val="Heading3"/>
      </w:pPr>
      <w:r>
        <w:t xml:space="preserve">DSGVO / BDSG</w:t>
      </w:r>
    </w:p>
    <w:p>
      <w:pPr>
        <w:pStyle w:val="ListParagraph"/>
        <w:numPr>
          <w:ilvl w:val="0"/>
          <w:numId w:val="3"/>
        </w:numPr>
        <w:spacing w:after="30" w:before="30"/>
      </w:pPr>
      <w:r>
        <w:rPr>
          <w:rFonts w:ascii="Arial" w:cs="Arial" w:eastAsia="Arial" w:hAnsi="Arial"/>
          <w:sz w:val="21"/>
          <w:szCs w:val="21"/>
        </w:rPr>
        <w:t xml:space="preserve">Art. 5 DSGVO (Datenminimierung, Zweckbindung)</w:t>
      </w:r>
    </w:p>
    <w:p>
      <w:pPr>
        <w:pStyle w:val="ListParagraph"/>
        <w:numPr>
          <w:ilvl w:val="0"/>
          <w:numId w:val="3"/>
        </w:numPr>
        <w:spacing w:after="30" w:before="30"/>
      </w:pPr>
      <w:r>
        <w:rPr>
          <w:rFonts w:ascii="Arial" w:cs="Arial" w:eastAsia="Arial" w:hAnsi="Arial"/>
          <w:sz w:val="21"/>
          <w:szCs w:val="21"/>
        </w:rPr>
        <w:t xml:space="preserve">Art. 6 DSGVO (Rechtsgrundlage) – i.d.R. Art. 6 Abs. 1 lit. f oder lit. c</w:t>
      </w:r>
    </w:p>
    <w:p>
      <w:pPr>
        <w:pStyle w:val="ListParagraph"/>
        <w:numPr>
          <w:ilvl w:val="0"/>
          <w:numId w:val="3"/>
        </w:numPr>
        <w:spacing w:after="30" w:before="30"/>
      </w:pPr>
      <w:r>
        <w:rPr>
          <w:rFonts w:ascii="Arial" w:cs="Arial" w:eastAsia="Arial" w:hAnsi="Arial"/>
          <w:sz w:val="21"/>
          <w:szCs w:val="21"/>
        </w:rPr>
        <w:t xml:space="preserve">§ 26 BDSG (Beschäftigtendatenschutz) – besondere Sorgfaltspflicht bei Notebook-Monitoring</w:t>
      </w:r>
    </w:p>
    <w:p>
      <w:pPr>
        <w:pStyle w:val="ListParagraph"/>
        <w:numPr>
          <w:ilvl w:val="0"/>
          <w:numId w:val="3"/>
        </w:numPr>
        <w:spacing w:after="30" w:before="30"/>
      </w:pPr>
      <w:r>
        <w:rPr>
          <w:rFonts w:ascii="Arial" w:cs="Arial" w:eastAsia="Arial" w:hAnsi="Arial"/>
          <w:sz w:val="21"/>
          <w:szCs w:val="21"/>
        </w:rPr>
        <w:t xml:space="preserve">§ 87 Abs. 1 Nr. 6 BetrVG – zwingendes Mitbestimmungsrecht des Betriebsrats</w:t>
      </w:r>
    </w:p>
    <w:p>
      <w:pPr>
        <w:spacing w:after="120" w:before="60"/>
      </w:pPr>
      <w:r>
        <w:rPr>
          <w:rFonts w:ascii="Arial" w:cs="Arial" w:eastAsia="Arial" w:hAnsi="Arial"/>
          <w:i/>
          <w:iCs/>
          <w:color w:val="595959"/>
          <w:sz w:val="21"/>
          <w:szCs w:val="21"/>
        </w:rPr>
        <w:t xml:space="preserve">Konsequenz: Für das Notebook-Monitoring ist eine Betriebsvereinbarung zwingend erforderlich, bevor produktiv erfasst wird (siehe Kapitel 4).</w:t>
      </w:r>
    </w:p>
    <w:p>
      <w:pPr>
        <w:pStyle w:val="Heading2"/>
      </w:pPr>
      <w:r>
        <w:t xml:space="preserve">2.4 Risikoklassifikation als Bindeglied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2891"/>
        <w:gridCol w:w="2410"/>
        <w:gridCol w:w="2891"/>
      </w:tblGrid>
      <w:tr>
        <w:tc>
          <w:tcPr>
            <w:tcW w:type="dxa" w:w="1446"/>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Klasse</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Beispiel</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Treiber</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Cloud-Ergänzung</w:t>
            </w:r>
          </w:p>
        </w:tc>
      </w:tr>
      <w:tr>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Kritisch</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Kernnetz-Komponenten, RZ-Anbindung</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NIS2, KRITIS-V</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Hybrid-Konnektivität (ExpressRoute/Direct Connect)</w:t>
            </w:r>
          </w:p>
        </w:tc>
      </w:tr>
      <w:tr>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Hoch</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Standortanbindungen, zentrale Server</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ISO 27001, IT-Grundschutz</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PaaS-Managed-Services (Azure SQL, AKS/EKS)</w:t>
            </w:r>
          </w:p>
        </w:tc>
      </w:tr>
      <w:tr>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Standard</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Endgeräte (Notebooks)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DSGVO/BDSG-dominiert</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Cloud-Identity-Anbindung (Entra ID Sign-In)</w:t>
            </w:r>
          </w:p>
        </w:tc>
      </w:tr>
    </w:tbl>
    <w:p>
      <w:pPr>
        <w:pStyle w:val="Heading2"/>
      </w:pPr>
      <w:r>
        <w:t xml:space="preserve">2.5 Cloud-spezifische regulatorische Einordnung</w:t>
      </w:r>
    </w:p>
    <w:p>
      <w:pPr>
        <w:spacing w:after="120" w:before="60"/>
      </w:pPr>
      <w:r>
        <w:rPr>
          <w:rFonts w:ascii="Arial" w:cs="Arial" w:eastAsia="Arial" w:hAnsi="Arial"/>
          <w:sz w:val="21"/>
          <w:szCs w:val="21"/>
        </w:rPr>
        <w:t xml:space="preserve">Wichtige Klarstellung der Rollen: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410"/>
        <w:gridCol w:w="433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Rolle</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Wer</w:t>
            </w:r>
          </w:p>
        </w:tc>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Pflichten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Cloud-Anbieter (Azure, AWS)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Microsoft, Amazon</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Unterliegen selbst NIS2 als wesentliche/wichtige Einrichtung im Sektor Digitale Infrastruktur</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Cloud-Kunde (Ihre Organisation)</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Sie</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NIS2 Art. 21 (Lieferketten-Sicherheit): Pflicht zur Bewertung und zum Nachweis der Sicherheit genutzter Cloud-Dienste</w:t>
            </w:r>
          </w:p>
        </w:tc>
      </w:tr>
    </w:tbl>
    <w:p>
      <w:pPr>
        <w:spacing w:after="120" w:before="60"/>
      </w:pPr>
      <w:r>
        <w:rPr>
          <w:rFonts w:ascii="Arial" w:cs="Arial" w:eastAsia="Arial" w:hAnsi="Arial"/>
          <w:i/>
          <w:iCs/>
          <w:color w:val="595959"/>
          <w:sz w:val="21"/>
          <w:szCs w:val="21"/>
        </w:rPr>
        <w:t xml:space="preserve">Konsequenz für das Monitoring-Konzept: Sie müssen nachweisen können, dass Azure/AWS als Lieferanten angemessen überwacht werden (Verfügbarkeit, Sicherheitsvorfälle, SLA-Einhaltung).</w:t>
      </w:r>
    </w:p>
    <w:p>
      <w:pPr>
        <w:pStyle w:val="Heading2"/>
      </w:pPr>
      <w:r>
        <w:t xml:space="preserve">2.6 Anforderung an Lieferanten-Nachweise</w:t>
      </w:r>
    </w:p>
    <w:p>
      <w:pPr>
        <w:spacing w:after="120" w:before="60"/>
      </w:pPr>
      <w:r>
        <w:rPr>
          <w:rFonts w:ascii="Arial" w:cs="Arial" w:eastAsia="Arial" w:hAnsi="Arial"/>
          <w:sz w:val="21"/>
          <w:szCs w:val="21"/>
        </w:rPr>
        <w:t xml:space="preserve">Da es keine eigene NIS2-Zertifizierung gibt, sollten von Cloud-Anbietern Nachweise wie eine ISO 27001-Zertifizierung oder ein BSI C5-Testat eingefordert werden – Letzteres ist besonders relevant für deutsche Unternehmen, da es cloud-spezifische Risiken gezielt adressiert.</w:t>
      </w:r>
    </w:p>
    <w:p>
      <w:pPr>
        <w:spacing w:after="120" w:before="60"/>
      </w:pPr>
      <w:r>
        <w:rPr>
          <w:rFonts w:ascii="Arial" w:cs="Arial" w:eastAsia="Arial" w:hAnsi="Arial"/>
          <w:i/>
          <w:iCs/>
          <w:color w:val="595959"/>
          <w:sz w:val="21"/>
          <w:szCs w:val="21"/>
        </w:rPr>
        <w:t xml:space="preserve">Konzept-Punkt: Im Lieferanten-Management (Kapitel 6.1) sollte die Existenz aktueller BSI C5-Testate für Azure/AWS sowie der Standardvertragsklauseln dokumentiert und jährlich überprüft werden.</w:t>
      </w:r>
    </w:p>
    <w:p>
      <w:pPr>
        <w:pStyle w:val="Heading2"/>
      </w:pPr>
      <w:r>
        <w:t xml:space="preserve">2.7 Drittstaatentransfer (DSGVO Art. 44 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Aspekt</w:t>
            </w:r>
          </w:p>
        </w:tc>
        <w:tc>
          <w:tcPr>
            <w:tcW w:type="dxa" w:w="674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Einordnung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Rechtsgrundlage für Transfer</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AWS/Azure-Servicebedingungen umfassen automatisch die 2021 von der EU-Kommission beschlossenen Standardvertragsklauseln (SCC)</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Alternative</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Seit Juli 2023 existiert das EU-US Data Privacy Framework (DPF) als Angemessenheitsbeschluss nach Art. 45 DSGVO – keine Pflicht zur Nutzung, SCC bleiben gültig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Rechtsunsicherheit</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Gegen das EU-US DPF sind bereits Verfahren anhängig – nicht ausschließlich darauf setzen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Praktische Empfehlung</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EU-Regionen nutzen, wo möglich (Azure EU Data Boundary, AWS eu-central-1/eu-west-1)</w:t>
            </w:r>
          </w:p>
        </w:tc>
      </w:tr>
    </w:tbl>
    <w:p>
      <w:pPr>
        <w:spacing w:after="120" w:before="60"/>
      </w:pPr>
      <w:r>
        <w:rPr>
          <w:rFonts w:ascii="Arial" w:cs="Arial" w:eastAsia="Arial" w:hAnsi="Arial"/>
          <w:i/>
          <w:iCs/>
          <w:color w:val="595959"/>
          <w:sz w:val="21"/>
          <w:szCs w:val="21"/>
        </w:rPr>
        <w:t xml:space="preserve">Wichtige Einschränkung für Monitoring-Daten: Wenn Notebook-/Mitarbeiterdaten in Cloud-Monitoring-Tools wie Azure Monitor landen, muss geprüft werden, in welcher Region diese Telemetrie gespeichert wird – EU-Region erzwingen ist verbindliche Konzept-Vorgabe (siehe Kapitel 4.11).</w:t>
      </w:r>
    </w:p>
    <w:p>
      <w:pPr>
        <w:pStyle w:val="Heading1"/>
        <w:pageBreakBefore/>
      </w:pPr>
      <w:r>
        <w:t xml:space="preserve">Kapitel 3: Monitoring-Domänen und mehrschichtige Architektur</w:t>
      </w:r>
    </w:p>
    <w:p>
      <w:pPr>
        <w:pStyle w:val="Heading2"/>
      </w:pPr>
      <w:r>
        <w:t xml:space="preserve">3.1 Vollständige Tool-Einordnung</w:t>
      </w:r>
    </w:p>
    <w:p>
      <w:pPr>
        <w:spacing w:after="120" w:before="60"/>
      </w:pPr>
      <w:r>
        <w:rPr>
          <w:rFonts w:ascii="Arial" w:cs="Arial" w:eastAsia="Arial" w:hAnsi="Arial"/>
          <w:sz w:val="21"/>
          <w:szCs w:val="21"/>
        </w:rPr>
        <w:t xml:space="preserve">Die Gesamtarchitektur basiert auf 19 Werkzeugen, die sich sechs technischen Funktionsschichten zuordnen lassen: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410"/>
        <w:gridCol w:w="433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Tool</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Kategorie</w:t>
            </w:r>
          </w:p>
        </w:tc>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Hauptfunktion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NetworkNodeManager (NNMi)</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Erfassung</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Layer-2/3-Topologie, Fault-Management</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Erfassung/Sammlung</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Agent-basierte Metrik-/Log-Erhebung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Metrik-Exporter</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Erfassung</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SNMP-, Blackbox-, Node-Exporter</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Filebeat</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Erfassung</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Leichtgewichtiger Log-Shipper (Elastic-Ökosystem)</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Erfassung/Analyse</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NetFlow/IPFIX-basierte Verhaltensanalyse, NDR</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Kube-state-metrics</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Erfassung</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Kubernetes-Cluster-Zustandsmetriken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VMware-Monitoring-Tools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Erfassung</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Hypervisor-/vSphere-Metriken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Alloy</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Sammlung/Verarbeitung</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Zentraler Collector, Routing zu Storage</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VictoriaMetrics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Speicherung</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Metrik-TSDB</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Loki</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Speicherung</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Log-Aggregation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Tempo</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Speicherung</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Distributed Tracing</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Grafana</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Visualisierung</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Dashboards</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Karma</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Visualisierung/Alerting</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Zentrales Alertmanager-Dashboard</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 ESM/ITOM</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Korrelation/ITSM</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Event-Aggregation, CI-Kontext, Incident-Prozess</w:t>
            </w:r>
          </w:p>
        </w:tc>
      </w:tr>
    </w:tbl>
    <w:p>
      <w:pPr>
        <w:pStyle w:val="Heading2"/>
      </w:pPr>
      <w:r>
        <w:t xml:space="preserve">3.2 Sechsschicht-Architektur (Grundmodell)</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Schicht 6: ITSM-Integration (ServiceNow ESM/ITOM) → Schicht 5: Visualisierung (Grafana, Karma) → Schicht 4: Speicherung (VictoriaMetrics, Loki, Tempo) → Schicht 3: Sammlung (Alloy) → Schicht 2: Agenten (Telegraf, Filebeat, Exporter, Kube-state-metrics) → Schicht 1: Expertensysteme (NNMi, Cisco SNA, VMware-Tools)</w:t>
      </w:r>
    </w:p>
    <w:p>
      <w:pPr>
        <w:spacing w:after="120" w:before="60"/>
      </w:pPr>
      <w:r>
        <w:rPr>
          <w:rFonts w:ascii="Arial" w:cs="Arial" w:eastAsia="Arial" w:hAnsi="Arial"/>
          <w:sz w:val="21"/>
          <w:szCs w:val="21"/>
        </w:rPr>
        <w:t xml:space="preserve">Architekturprinzip: Jede Schicht hat eine klar abgegrenzte Verantwortung (Separation of Concerns). Das ist auch datenschutzrechtlich relevant: Personenbezogene Daten werden idealerweise erst auf höheren Schichten mit Kontext angereichert, nicht bereits in Schicht 1.</w:t>
      </w:r>
    </w:p>
    <w:p>
      <w:pPr>
        <w:pStyle w:val="Heading2"/>
      </w:pPr>
      <w:r>
        <w:t xml:space="preserve">3.3 Domäne A: Verfügbarkeit &amp; Topologie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Tool</w:t>
            </w:r>
          </w:p>
        </w:tc>
        <w:tc>
          <w:tcPr>
            <w:tcW w:type="dxa" w:w="674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Funktion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Primär: SNMP/ICMP-Discovery, Topologie, Root-Cause</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VMware-Monitoring-Tools</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Hypervisor-Verfügbarkeit (vCenter, ESXi-Host-Status)</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Kube-state-metrics</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Kubernetes-Node-/Pod-Verfügbarkeit</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Ergänzende Host-Verfügbarkeit (inputs.ping, inputs.net)</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Alloy</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Einheitliche Sammlung aller Quellen</w:t>
            </w:r>
          </w:p>
        </w:tc>
      </w:tr>
    </w:tbl>
    <w:p>
      <w:pPr>
        <w:spacing w:after="120" w:before="60"/>
      </w:pPr>
      <w:r>
        <w:rPr>
          <w:rFonts w:ascii="Arial" w:cs="Arial" w:eastAsia="Arial" w:hAnsi="Arial"/>
          <w:i/>
          <w:iCs/>
          <w:color w:val="595959"/>
          <w:sz w:val="21"/>
          <w:szCs w:val="21"/>
        </w:rPr>
        <w:t xml:space="preserve">Skalierungsaspekt (500.000 IPs): Bei dieser Größenordnung ist Discovery-Segmentierung zwingend – NNMi sollte mit regionalen Pollern/Collectors arbeiten statt einer zentralen Polling-Instanz.</w:t>
      </w:r>
    </w:p>
    <w:p>
      <w:pPr>
        <w:pStyle w:val="Heading2"/>
      </w:pPr>
      <w:r>
        <w:t xml:space="preserve">3.4 Domäne B: Performance &amp; Kapazität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Tool</w:t>
            </w:r>
          </w:p>
        </w:tc>
        <w:tc>
          <w:tcPr>
            <w:tcW w:type="dxa" w:w="674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Funktion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Metrik-Exporter (SNMP)</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Interface-Durchsatz, Bandbreite</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VMware-Monitoring-Tools</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CPU/Memory/Storage-Auslastung der Virtualisierungsschicht</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Kube-state-metrics</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Ressourcen-Requests/Limits, Pod-Auslastung</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Host-Performance (CPU, RAM, Disk-IO)</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Tempo</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Latenzanalyse auf Trace-Ebene</w:t>
            </w:r>
          </w:p>
        </w:tc>
      </w:tr>
    </w:tbl>
    <w:p>
      <w:pPr>
        <w:pStyle w:val="Heading2"/>
      </w:pPr>
      <w:r>
        <w:t xml:space="preserve">3.5 Domäne C: Sicherheit &amp; Anomalien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Tool</w:t>
            </w:r>
          </w:p>
        </w:tc>
        <w:tc>
          <w:tcPr>
            <w:tcW w:type="dxa" w:w="674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Funktion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Kernkomponente: NetFlow/IPFIX-basierte Verhaltensanalyse, Encrypted Traffic Analytics</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Filebeat</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Log-Shipping von Firewalls, Auth-Systemen, Endpoints zu OpenSearch</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Ergänzende Sicherheitsmetriken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Loki</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Zentrale Log-Speicherung für operative Korrelation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Karma</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Aggregierte Alert-Übersicht bei verteilten Alertmanager-Instanzen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 ESM/ITOM</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Korrelation SNA-Alarme + Log-Events + CI-Kontext → Incident</w:t>
            </w:r>
          </w:p>
        </w:tc>
      </w:tr>
    </w:tbl>
    <w:p>
      <w:pPr>
        <w:spacing w:after="120" w:before="60"/>
      </w:pPr>
      <w:r>
        <w:rPr>
          <w:rFonts w:ascii="Arial" w:cs="Arial" w:eastAsia="Arial" w:hAnsi="Arial"/>
          <w:i/>
          <w:iCs/>
          <w:color w:val="595959"/>
          <w:sz w:val="21"/>
          <w:szCs w:val="21"/>
        </w:rPr>
        <w:t xml:space="preserve">Cisco SNA kann via AnyConnect Network Visibility Module Flow-Daten von Remote-Workern (Notebooks) erfassen, ohne dass ein separater Endpoint-Agent für jede Erfassung nötig ist. NetFlow-Metadaten sind datenschutzrechtlich weniger eingriffsintensiv als Inhalts- oder Anwendungs-Monitoring.</w:t>
      </w:r>
    </w:p>
    <w:p>
      <w:pPr>
        <w:pStyle w:val="Heading2"/>
      </w:pPr>
      <w:r>
        <w:t xml:space="preserve">3.6 Domäne D: Virtualisierung &amp; Container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891"/>
        <w:gridCol w:w="4337"/>
      </w:tblGrid>
      <w:tr>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Aspekt</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Tool</w:t>
            </w:r>
          </w:p>
        </w:tc>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Kennzahlen</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Hypervisor-Ebene</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VMware-Monitoring-Tools</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Host-Status, vMotion-Events, Datastore-Auslastung, Cluster-HA-Status</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Container-Orchestrierung</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Kube-state-metrics</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Pod-Status, Deployment-Readiness, Node-Conditions</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Tracing</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Tempo</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Verteilte Transaktionen über Container-Grenzen hinweg</w:t>
            </w:r>
          </w:p>
        </w:tc>
      </w:tr>
    </w:tbl>
    <w:p>
      <w:pPr>
        <w:pStyle w:val="Heading2"/>
      </w:pPr>
      <w:r>
        <w:t xml:space="preserve">3.7 Dual-Log-Pipeline: Filebeat/OpenSearch vs. Alloy/Loki</w:t>
      </w:r>
    </w:p>
    <w:p>
      <w:pPr>
        <w:spacing w:after="120" w:before="60"/>
      </w:pPr>
      <w:r>
        <w:rPr>
          <w:rFonts w:ascii="Arial" w:cs="Arial" w:eastAsia="Arial" w:hAnsi="Arial"/>
          <w:sz w:val="21"/>
          <w:szCs w:val="21"/>
        </w:rPr>
        <w:t xml:space="preserve">Bewusste Architekturentscheidung für zwei parallele Log-Pfade, abgestimmt nach Zweck statt Tool-Vorliebe: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410"/>
        <w:gridCol w:w="433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Log-Typ</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Empfohlener Pfad</w:t>
            </w:r>
          </w:p>
        </w:tc>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Begründung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Firewall-/Auth-/Audit-Logs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Filebeat → OpenSearch</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Lange Aufbewahrung, forensische Volltextsuche für NIS2-Meldepflicht</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 Alarme/Events</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Filebeat → OpenSearch</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Hohes Volumen, strukturierte Security-Events</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Apache/Nginx Access-Logs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Alloy → Loki</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Korrelation mit Performance-Metriken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Kubernetes Pod-Logs</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Alloy → Loki</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Native Grafana-Integration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Windows Event Log (Notebooks)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Filebeat → OpenSearch</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Ausgereiftes Windows-Event-Log-Modul</w:t>
            </w:r>
          </w:p>
        </w:tc>
      </w:tr>
    </w:tbl>
    <w:p>
      <w:pPr>
        <w:pStyle w:val="Heading2"/>
      </w:pPr>
      <w:r>
        <w:t xml:space="preserve">3.8 Multi-Stack-Föderation – Übersicht</w:t>
      </w:r>
    </w:p>
    <w:p>
      <w:pPr>
        <w:spacing w:after="120" w:before="60"/>
      </w:pPr>
      <w:r>
        <w:rPr>
          <w:rFonts w:ascii="Arial" w:cs="Arial" w:eastAsia="Arial" w:hAnsi="Arial"/>
          <w:sz w:val="21"/>
          <w:szCs w:val="21"/>
        </w:rPr>
        <w:t xml:space="preserve">Die Architektur besteht nicht aus einer einzelnen Pipeline, sondern aus sechs weitgehend autarken Stacks, die erst auf ITSM-Ebene zusammenlaufen: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855"/>
        <w:gridCol w:w="4819"/>
      </w:tblGrid>
      <w:tr>
        <w:tc>
          <w:tcPr>
            <w:tcW w:type="dxa" w:w="964"/>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Stack</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Bereich</w:t>
            </w:r>
          </w:p>
        </w:tc>
        <w:tc>
          <w:tcPr>
            <w:tcW w:type="dxa" w:w="481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Führendes Tool</w:t>
            </w:r>
          </w:p>
        </w:tc>
      </w:tr>
      <w:tr>
        <w:tc>
          <w:tcPr>
            <w:tcW w:type="dxa" w:w="964"/>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1</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Windows/Microsoft-Infrastruktur</w:t>
            </w:r>
          </w:p>
        </w:tc>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Microsoft SCOM</w:t>
            </w:r>
          </w:p>
        </w:tc>
      </w:tr>
      <w:tr>
        <w:tc>
          <w:tcPr>
            <w:tcW w:type="dxa" w:w="964"/>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Netzwerk/Sicherheit (Custom)</w:t>
            </w:r>
          </w:p>
        </w:tc>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 Cisco SNA, Alloy/VictoriaMetrics/Loki, Grafana</w:t>
            </w:r>
          </w:p>
        </w:tc>
      </w:tr>
      <w:tr>
        <w:tc>
          <w:tcPr>
            <w:tcW w:type="dxa" w:w="964"/>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3</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Container-Plattform</w:t>
            </w:r>
          </w:p>
        </w:tc>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Rancher, Istio, Kiali</w:t>
            </w:r>
          </w:p>
        </w:tc>
      </w:tr>
      <w:tr>
        <w:tc>
          <w:tcPr>
            <w:tcW w:type="dxa" w:w="964"/>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4</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End-to-End/Digital Experience</w:t>
            </w:r>
          </w:p>
        </w:tc>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Automai, CatchPoint</w:t>
            </w:r>
          </w:p>
        </w:tc>
      </w:tr>
      <w:tr>
        <w:tc>
          <w:tcPr>
            <w:tcW w:type="dxa" w:w="964"/>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5</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Cloud-Infrastruktur (Multi-Cloud)</w:t>
            </w:r>
          </w:p>
        </w:tc>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Azure Monitor, CloudWatch</w:t>
            </w:r>
          </w:p>
        </w:tc>
      </w:tr>
      <w:tr>
        <w:tc>
          <w:tcPr>
            <w:tcW w:type="dxa" w:w="964"/>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6</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Sonstige Infrastruktur</w:t>
            </w:r>
          </w:p>
        </w:tc>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 OpenSearch, Grafana</w:t>
            </w:r>
          </w:p>
        </w:tc>
      </w:tr>
    </w:tbl>
    <w:p>
      <w:pPr>
        <w:pStyle w:val="Heading2"/>
      </w:pPr>
      <w:r>
        <w:t xml:space="preserve">3.9 Stack 1: Microsoft SCOM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Aspekt</w:t>
            </w:r>
          </w:p>
        </w:tc>
        <w:tc>
          <w:tcPr>
            <w:tcW w:type="dxa" w:w="674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Beschreibung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Abdeckung</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Active Directory, DNS, Windows-Server, MSSQL, Exchange, MS-Portal-Komponenten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Architekturprinzip</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Eigenständiges, geschlossenes Management-Pack-System</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Schnittstelle zur Gesamtarchitektur</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Über SCOM-Konnektor zu ServiceNow ESM/ITOM – nicht über Alloy/VictoriaMetrics</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Domänen-Zuordnung</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Primär Verfügbarkeit &amp; Performance; auch sicherheitsrelevante Events (z.B. AD-Anomalien)</w:t>
            </w:r>
          </w:p>
        </w:tc>
      </w:tr>
    </w:tbl>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Grundsatz: Für alle Komponenten, die SCOM mit einem nativen Management Pack abdeckt, ist SCOM die führende Quelle. Telegraf/Alloy werden nur für Komponenten genutzt, die SCOM nicht oder nur unzureichend abdeckt.</w:t>
      </w:r>
    </w:p>
    <w:p>
      <w:pPr>
        <w:pStyle w:val="Heading2"/>
      </w:pPr>
      <w:r>
        <w:t xml:space="preserve">3.10 Stack 3: Rancher / Kubernetes / Istio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Komponente</w:t>
            </w:r>
          </w:p>
        </w:tc>
        <w:tc>
          <w:tcPr>
            <w:tcW w:type="dxa" w:w="674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Funktion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Rancher</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Multi-Cluster-Kubernetes-Management; bringt eigenen Monitoring-Stack mit</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Eingebauter Stack</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Rancher Monitoring basiert auf kube-prometheus-stack: eigener Prometheus, Grafana, Alertmanager</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Istio</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Service-Mesh-Layer; Envoy-Sidecars liefern Traffic-Metriken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Kiali</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Topologie-Visualisierung des Service-Mesh, nutzt denselben Rancher-eigenen Prometheus</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Kube-state-metrics</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Bereits Teil des Rancher-Stacks (Standard-Exporter)</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Karma</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Aggregiert Alerts aus dem/den Rancher-eigenen Alertmanager-Instanzen</w:t>
            </w:r>
          </w:p>
        </w:tc>
      </w:tr>
    </w:tbl>
    <w:p>
      <w:pPr>
        <w:spacing w:after="120" w:before="60"/>
      </w:pPr>
      <w:r>
        <w:rPr>
          <w:rFonts w:ascii="Arial" w:cs="Arial" w:eastAsia="Arial" w:hAnsi="Arial"/>
          <w:i/>
          <w:iCs/>
          <w:color w:val="595959"/>
          <w:sz w:val="21"/>
          <w:szCs w:val="21"/>
        </w:rPr>
        <w:t xml:space="preserve">Container-Workloads sind kurzlebig – ein separater, cluster-naher Prometheus mit kurzer Retention ist dafür besser geeignet als der zentrale, langzeit-orientierte VictoriaMetrics-Stack. Bei mehreren Kubernetes-Clustern ist Per-Cluster-Monitoring mit optionaler Federation die empfohlene Variante, nicht ein zentraler Prometheus für alle Cluster.</w:t>
      </w:r>
    </w:p>
    <w:p>
      <w:pPr>
        <w:pStyle w:val="Heading3"/>
      </w:pPr>
      <w:r>
        <w:t xml:space="preserve">Karma im Kontext Rancher/Kubernetes</w:t>
      </w:r>
    </w:p>
    <w:p>
      <w:pPr>
        <w:spacing w:after="120" w:before="60"/>
      </w:pPr>
      <w:r>
        <w:rPr>
          <w:rFonts w:ascii="Arial" w:cs="Arial" w:eastAsia="Arial" w:hAnsi="Arial"/>
          <w:sz w:val="21"/>
          <w:szCs w:val="21"/>
        </w:rPr>
        <w:t xml:space="preserve">Karma hat zwei mögliche Instanz-Quellen:</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1"/>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Karma-Instanz</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Quelle</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Zweck</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Karma (zentral)</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Alertmanager im VictoriaMetrics/Grafana-Stack</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Netzwerk-/Infrastruktur-Alerts</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Karma (Rancher-Kontext)</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Alertmanager im Rancher/Kiali-Stack</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Kubernetes-/Mesh-Alerts</w:t>
            </w:r>
          </w:p>
        </w:tc>
      </w:tr>
    </w:tbl>
    <w:p>
      <w:pPr>
        <w:spacing w:after="120" w:before="60"/>
      </w:pPr>
      <w:r>
        <w:rPr>
          <w:rFonts w:ascii="Arial" w:cs="Arial" w:eastAsia="Arial" w:hAnsi="Arial"/>
          <w:i/>
          <w:iCs/>
          <w:color w:val="595959"/>
          <w:sz w:val="21"/>
          <w:szCs w:val="21"/>
        </w:rPr>
        <w:t xml:space="preserve">Empfehlung: Eine einzige Karma-Instanz, die beide Alertmanager-Quellen gleichzeitig abfragt – Karma kann Alerts mehrerer Alertmanager-Instanzen aggregieren, Duplikate filtern und jeden Alert mit der Quelle taggen.</w:t>
      </w:r>
    </w:p>
    <w:p>
      <w:pPr>
        <w:pStyle w:val="Heading2"/>
      </w:pPr>
      <w:r>
        <w:t xml:space="preserve">3.11 Stack 4: End-to-End &amp; Digital Experience Monitoring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891"/>
        <w:gridCol w:w="4819"/>
      </w:tblGrid>
      <w:tr>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Tool</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Kategorie</w:t>
            </w:r>
          </w:p>
        </w:tc>
        <w:tc>
          <w:tcPr>
            <w:tcW w:type="dxa" w:w="481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Funktion</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Automai</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Synthetic/Robotic Process Monitoring</w:t>
            </w:r>
          </w:p>
        </w:tc>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End-to-End-Anwendungsmonitoring (Frontend + Backend), agentenlos, robotergestützte Bildschirm-Simulation</w:t>
            </w:r>
          </w:p>
        </w:tc>
      </w:tr>
      <w:tr>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CatchPoint</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Internet Performance Monitoring (IPM)</w:t>
            </w:r>
          </w:p>
        </w:tc>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Synthetic Monitoring, RUM, OpenTelemetry-Tracing, KI-gestützte Korrelation</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3855"/>
      </w:tblGrid>
      <w:tr>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Kriterium</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Automai</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CatchPoint</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Fokus</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Interne Geschäftsanwendungen, Legacy/Thick-Client</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Externe Online-Services, öffentliches Internet</w:t>
            </w:r>
          </w:p>
        </w:tc>
      </w:tr>
      <w:tr>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Messpunkte</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Intern, definierte Standorte/Desktops</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Über 3.000 globale Vantage Points in mehr als 100 Ländern</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Methode</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Robotergestützte Bildschirm-Simulation, scriptless</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Synthetic Tests, RUM und OpenTelemetry-Tracing kombiniert</w:t>
            </w:r>
          </w:p>
        </w:tc>
      </w:tr>
    </w:tbl>
    <w:p>
      <w:pPr>
        <w:spacing w:after="120" w:before="60"/>
      </w:pPr>
      <w:r>
        <w:rPr>
          <w:rFonts w:ascii="Arial" w:cs="Arial" w:eastAsia="Arial" w:hAnsi="Arial"/>
          <w:i/>
          <w:iCs/>
          <w:color w:val="B8860B"/>
          <w:sz w:val="21"/>
          <w:szCs w:val="21"/>
        </w:rPr>
        <w:t xml:space="preserve">Hinweis: CatchPoint wurde im Dezember 2025 von LogicMonitor übernommen (Post-Merger-Integration mit der 'Edwin AI'-Engine) – relevant für die jährliche Tool-Strategie-Überprüfung, kein Grund zum Tool-Wechsel.</w:t>
      </w:r>
    </w:p>
    <w:p>
      <w:pPr>
        <w:spacing w:after="120" w:before="60"/>
      </w:pPr>
      <w:r>
        <w:rPr>
          <w:rFonts w:ascii="Arial" w:cs="Arial" w:eastAsia="Arial" w:hAnsi="Arial"/>
          <w:i/>
          <w:iCs/>
          <w:color w:val="595959"/>
          <w:sz w:val="21"/>
          <w:szCs w:val="21"/>
        </w:rPr>
        <w:t xml:space="preserve">Synthetic Monitoring (Automai) ≠ Real User Monitoring: Da Transaktionen von Bots statt echten Mitarbeitern ausgeführt werden, entsteht kein personenbezogener Datenbezug – die Mitbestimmungspflicht greift hier in der Regel nicht.</w:t>
      </w:r>
    </w:p>
    <w:p>
      <w:pPr>
        <w:pStyle w:val="Heading2"/>
      </w:pPr>
      <w:r>
        <w:t xml:space="preserve">3.12 Stack 5: Cloud-Infrastruktur (Multi-Cloud)</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446"/>
        <w:gridCol w:w="2410"/>
        <w:gridCol w:w="2410"/>
        <w:gridCol w:w="3373"/>
      </w:tblGrid>
      <w:tr>
        <w:tc>
          <w:tcPr>
            <w:tcW w:type="dxa" w:w="1446"/>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Servicemodell</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Azure-Tool</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AWS-Tool</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Was wird überwacht</w:t>
            </w:r>
          </w:p>
        </w:tc>
      </w:tr>
      <w:tr>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IaaS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Azure Monitor (VM Insights)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CloudWatch + EC2-Metriken</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VM-Performance, Netzwerk-Interfaces</w:t>
            </w:r>
          </w:p>
        </w:tc>
      </w:tr>
      <w:tr>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PaaS</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Azure Monitor (App/SQL Insights)</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CloudWatch (RDS, Lambda)</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Managed-Service-Gesundheit, AKS/EKS</w:t>
            </w:r>
          </w:p>
        </w:tc>
      </w:tr>
      <w:tr>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SaaS-nah</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M365 Service Health</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Verfügbarkeit von Cloud-Diensten</w:t>
            </w:r>
          </w:p>
        </w:tc>
      </w:tr>
      <w:tr>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Netzwerk</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Azure Network Watcher</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VPC Flow Logs</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Cloud-interne Netzwerk-Pfade, Hybrid-Konnektivität</w:t>
            </w:r>
          </w:p>
        </w:tc>
      </w:tr>
      <w:tr>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Sicherheit</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Microsoft Defender for Cloud</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GuardDuty, Security Hub</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Cloud-spezifische Bedrohungserkennung</w:t>
            </w:r>
          </w:p>
        </w:tc>
      </w:tr>
    </w:tbl>
    <w:p>
      <w:pPr>
        <w:pStyle w:val="Heading3"/>
      </w:pPr>
      <w:r>
        <w:t xml:space="preserve">Hybrid-Konnektivität als Schnittstelle</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3"/>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Verbindungstyp</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Monitoring-Bedarf</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Tool</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VPN/ExpressRoute/Direct Connect</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Tunnel-Status, Bandbreite, Latenz</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 (on-prem) + Azure Network Watcher/AWS-Metriken (cloud)</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Hybrid-DNS</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Auflösungskonsistenz on-prem ↔ Cloud</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SCOM (DNS-Teil) + Azure DNS Analytics</w:t>
            </w:r>
          </w:p>
        </w:tc>
      </w:tr>
    </w:tbl>
    <w:p>
      <w:pPr>
        <w:spacing w:after="120" w:before="60"/>
      </w:pPr>
      <w:r>
        <w:rPr>
          <w:rFonts w:ascii="Arial" w:cs="Arial" w:eastAsia="Arial" w:hAnsi="Arial"/>
          <w:i/>
          <w:iCs/>
          <w:color w:val="595959"/>
          <w:sz w:val="21"/>
          <w:szCs w:val="21"/>
        </w:rPr>
        <w:t xml:space="preserve">Diese Schnittstellen-Metriken bilden eine bewusste Ausnahme von der 'getrennte Stacks'-Regel und werden zusätzlich in Grafana gespiegelt, da Konnektivitätsprobleme zwischen on-prem und Cloud sonst aus zwei getrennten Tools heraus diagnostiziert werden müssten.</w:t>
      </w:r>
    </w:p>
    <w:p>
      <w:pPr>
        <w:pStyle w:val="Heading2"/>
      </w:pPr>
      <w:r>
        <w:t xml:space="preserve">3.13 Stack 6: Sonstige Infrastrukturkomponenten ('Catch-All')</w:t>
      </w:r>
    </w:p>
    <w:p>
      <w:pPr>
        <w:spacing w:after="120" w:before="60"/>
      </w:pPr>
      <w:r>
        <w:rPr>
          <w:rFonts w:ascii="Arial" w:cs="Arial" w:eastAsia="Arial" w:hAnsi="Arial"/>
          <w:sz w:val="21"/>
          <w:szCs w:val="21"/>
        </w:rPr>
        <w:t xml:space="preserve">Eine explizite Reste-Domäne vermeidet unsaubere Konstrukte, wenn Komponenten keiner fachlichen Domäne trennscharf zuzuordnen sind.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373"/>
        <w:gridCol w:w="3855"/>
      </w:tblGrid>
      <w:tr>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Komponente</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Telegraf-Input-Plugin</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Warum nicht andere Domäne?</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S3-Storage</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inputs.aws (CloudWatch-Bridge) oder inputs.http</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Kein klassisches Server-/Netzwerk-Objekt</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Kafka</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inputs.kafka_consumer, inputs.jolokia2</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Messaging-Middleware – weder Infrastruktur noch Anwendung</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Drucksysteme</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inputs.snmp (Standard-Printer-MIB)</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Eigene Gerätekategorie ohne Netzwerk-/Server-Bezug</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RZ-Infrastruktur (USV, Klima, Zugang)</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inputs.snmp, inputs.modbus</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Facility-Management-nah</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Individuelle Einzelfall-Überwachungen</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inputs.exec (Custom-Skripte)</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Per Definition nicht kategorisierbar</w:t>
            </w:r>
          </w:p>
        </w:tc>
      </w:tr>
    </w:tbl>
    <w:p>
      <w:pPr>
        <w:spacing w:after="120" w:before="60"/>
      </w:pPr>
      <w:r>
        <w:rPr>
          <w:rFonts w:ascii="Arial" w:cs="Arial" w:eastAsia="Arial" w:hAnsi="Arial"/>
          <w:sz w:val="21"/>
          <w:szCs w:val="21"/>
        </w:rPr>
        <w:t xml:space="preserve">Architektur-Besonderheit: Diese Domäne nutzt dieselben Werkzeuge wie Stack 2 (Telegraf, Grafana), aber mit einem eigenen, separaten OpenSearch-Cluster statt VictoriaMetrics/Loki – begründet durch die hohe Heterogenität der Datenstrukturen, die sich nicht gut in ein stark label-getriebenes TSDB-Modell pressen lässt.</w:t>
      </w:r>
    </w:p>
    <w:p>
      <w:pPr>
        <w:pStyle w:val="Heading3"/>
      </w:pPr>
      <w:r>
        <w:t xml:space="preserve">Datenschutz-Hinweis Drucksysteme</w:t>
      </w:r>
    </w:p>
    <w:p>
      <w:pPr>
        <w:spacing w:after="120" w:before="60"/>
      </w:pPr>
      <w:r>
        <w:rPr>
          <w:rFonts w:ascii="Arial" w:cs="Arial" w:eastAsia="Arial" w:hAnsi="Arial"/>
          <w:i/>
          <w:iCs/>
          <w:color w:val="595959"/>
          <w:sz w:val="21"/>
          <w:szCs w:val="21"/>
        </w:rPr>
        <w:t xml:space="preserve">Die meisten Komponenten in Domäne G sind Klasse 0 (kein Personenbezug) – mit einer Ausnahme: Drucksysteme können bei Erfassung von Druckauftrags-Metadaten (statt nur Geräte-Health) Mitarbeiterbezug aufweisen. Konfiguration ist explizit auf Geräte-Health (Tonerstand, Papierstau, Verfügbarkeit) zu beschränken.</w:t>
      </w:r>
    </w:p>
    <w:p>
      <w:pPr>
        <w:pStyle w:val="Heading2"/>
      </w:pPr>
      <w:r>
        <w:t xml:space="preserve">3.14 Drei getrennte Speicherziele für Logs/heterogene Daten</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2410"/>
        <w:gridCol w:w="3373"/>
        <w:gridCol w:w="1928"/>
      </w:tblGrid>
      <w:tr>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Cluster</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Zweck</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Quellen</w:t>
            </w:r>
          </w:p>
        </w:tc>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Sensitivität</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OpenSearch-Security</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Forensik, Audit, NIS2-Nachweis</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Filebeat (Firewall/Auth/Audit-Logs, Cisco SNA, Windows Event Log)</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Hoch – Klasse 2–3</w:t>
            </w:r>
          </w:p>
        </w:tc>
      </w:tr>
      <w:tr>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OpenSearch-Infrastruktur</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Heterogenes Komponenten-Monitoring</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 (S3, Kafka, Drucker, RZ-Infrastruktur)</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Niedrig – überwiegend Klasse 0</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Loki</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Operative Infrastruktur-/Anwendungslogs</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Alloy (Apache/Nginx, K8s-Pod-Logs)</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Niedrig – Klasse 0</w:t>
            </w:r>
          </w:p>
        </w:tc>
      </w:tr>
    </w:tbl>
    <w:p>
      <w:pPr>
        <w:spacing w:after="120" w:before="60"/>
      </w:pPr>
      <w:r>
        <w:rPr>
          <w:rFonts w:ascii="Arial" w:cs="Arial" w:eastAsia="Arial" w:hAnsi="Arial"/>
          <w:i/>
          <w:iCs/>
          <w:color w:val="595959"/>
          <w:sz w:val="21"/>
          <w:szCs w:val="21"/>
        </w:rPr>
        <w:t xml:space="preserve">Begründung der Trennung: Ein gemeinsamer Cluster für Security- und Infrastruktur-Daten würde das strikte Zugriffskonzept (Kapitel 4.8) verwässern – physische Cluster-Trennung ist die robustere Kontrolle gegenüber rein rollenbasierter Trennung (RBAC) innerhalb eines gemeinsamen Clusters.</w:t>
      </w:r>
    </w:p>
    <w:p>
      <w:pPr>
        <w:pStyle w:val="Heading2"/>
      </w:pPr>
      <w:r>
        <w:t xml:space="preserve">3.15 Gesamtarchitektur-Diagramm</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Stack 1 (SCOM) │ Stack 2 (Netzwerk/Sicherheit) │ Stack 3 (Rancher) │ Stack 4 (Automai/CatchPoint) │ Stack 5 (Cloud) │ Stack 6 (Sonstige) → alle münden in Schicht 6: ServiceNow ESM/ITOM als Föderations-Layer für Aggregation, Korrelation und Kontextualisierung von Ereignissen und Zuständen.</w:t>
      </w:r>
    </w:p>
    <w:p>
      <w:pPr>
        <w:pStyle w:val="Heading2"/>
      </w:pPr>
      <w:r>
        <w:t xml:space="preserve">3.16 Vollständige Domänen-Übersicht (7 Domänen)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Domäne</w:t>
            </w:r>
          </w:p>
        </w:tc>
        <w:tc>
          <w:tcPr>
            <w:tcW w:type="dxa" w:w="578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Schwerpunkt</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 – Verfügbarkeit &amp; Topologie</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Ausfallerkennung</w:t>
            </w:r>
          </w:p>
        </w:tc>
      </w:tr>
      <w:tr>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 – Performance &amp; Kapazität</w:t>
            </w:r>
          </w:p>
        </w:tc>
        <w:tc>
          <w:tcPr>
            <w:tcW w:type="dxa" w:w="578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Bandbreite, Latenz</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 – Sicherheit &amp; Anomalien</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Bedrohungserkennung</w:t>
            </w:r>
          </w:p>
        </w:tc>
      </w:tr>
      <w:tr>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 – Virtualisierung &amp; Container</w:t>
            </w:r>
          </w:p>
        </w:tc>
        <w:tc>
          <w:tcPr>
            <w:tcW w:type="dxa" w:w="578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Plattform-Zustand</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 – End-to-End &amp; Digital Experience</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Nutzerperspektive</w:t>
            </w:r>
          </w:p>
        </w:tc>
      </w:tr>
      <w:tr>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 – Cloud-Infrastruktur</w:t>
            </w:r>
          </w:p>
        </w:tc>
        <w:tc>
          <w:tcPr>
            <w:tcW w:type="dxa" w:w="578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Multi-Cloud</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 – Sonstige Infrastruktur</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Heterogene Restkomponenten</w:t>
            </w:r>
          </w:p>
        </w:tc>
      </w:tr>
    </w:tbl>
    <w:p>
      <w:pPr>
        <w:pStyle w:val="Heading1"/>
        <w:pageBreakBefore/>
      </w:pPr>
      <w:r>
        <w:t xml:space="preserve">Kapitel 4: Datenschutz-Architektur</w:t>
      </w:r>
    </w:p>
    <w:p>
      <w:pPr>
        <w:pStyle w:val="Heading2"/>
      </w:pPr>
      <w:r>
        <w:t xml:space="preserve">4.1 Grundprinzip: Datenschutz durch Technikgestaltung (Art. 25 DSGVO)</w:t>
      </w:r>
    </w:p>
    <w:p>
      <w:pPr>
        <w:spacing w:after="120" w:before="60"/>
      </w:pPr>
      <w:r>
        <w:rPr>
          <w:rFonts w:ascii="Arial" w:cs="Arial" w:eastAsia="Arial" w:hAnsi="Arial"/>
          <w:sz w:val="21"/>
          <w:szCs w:val="21"/>
        </w:rPr>
        <w:t xml:space="preserve">Das Konzept folgt dem Prinzip Privacy by Design and by Default: Datenschutzanforderungen werden nicht nachträglich aufgesetzt, sondern sind in der Schichtenarchitektur aus Kapitel 3 bereits angelegt.</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Kernregel: Je weiter unten (Richtung Erfassungsschicht) eine Information ausreicht, um den Monitoring-Zweck zu erfüllen, desto weiter unten sollte sie verbleiben. Personenbezug wird erst dort hinzugefügt, wo er für den jeweiligen Zweck zwingend nötig ist (z.B. erst im Eskalationsfall in ServiceNow ESM/ITOM).</w:t>
      </w:r>
    </w:p>
    <w:p>
      <w:pPr>
        <w:pStyle w:val="Heading2"/>
      </w:pPr>
      <w:r>
        <w:t xml:space="preserve">4.2 Klassifikation der Datenquellen nach Personenbezug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855"/>
        <w:gridCol w:w="3373"/>
      </w:tblGrid>
      <w:tr>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Klasse</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Beschreibung</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Beispiele</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Klasse 0 – Kein Personenbezug</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Reine Maschinen-/Netzwerkdaten ohne Bezugsmöglichkeit</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NNMi-Topologie, Interface-Auslastung, VMware-Host-Metriken, Kube-state-metrics</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Klasse 1 – Mittelbarer Gerätebezug</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Gerätebezogen, Person nur über zusätzliche Zuordnung ermittelbar</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Notebook-Erreichbarkeit, Notebook-Performance-Metriken (Telegraf)</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Klasse 2 – Unmittelbarer Personenbezug, verhaltensarm</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Direkter Bezug zu Nutzerkonten, ohne Verhaltensaussage</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AD-Anmeldedaten (SCOM), Exchange-Postfachgröße</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Klasse 3 – Personenbezug mit Verhaltens-/Leistungsindikator</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Rückschlüsse auf Arbeitsverhalten, Standort, Nutzungsintensität möglich</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 NetFlow, Filebeat Windows-Event-Logs</w:t>
            </w:r>
          </w:p>
        </w:tc>
      </w:tr>
    </w:tbl>
    <w:p>
      <w:pPr>
        <w:spacing w:after="120" w:before="60"/>
      </w:pPr>
      <w:r>
        <w:rPr>
          <w:rFonts w:ascii="Arial" w:cs="Arial" w:eastAsia="Arial" w:hAnsi="Arial"/>
          <w:i/>
          <w:iCs/>
          <w:color w:val="595959"/>
          <w:sz w:val="21"/>
          <w:szCs w:val="21"/>
        </w:rPr>
        <w:t xml:space="preserve">Synthetic-Tools (Automai, CatchPoint) fallen grundsätzlich unter Klasse 0–1, da sie Bot-generierte, nicht Mitarbeiter-generierte Daten erzeugen.</w:t>
      </w:r>
    </w:p>
    <w:p>
      <w:pPr>
        <w:pStyle w:val="Heading2"/>
      </w:pPr>
      <w:r>
        <w:t xml:space="preserve">4.3 Pseudonymisierungskonzept für Notebooks</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Schicht 1–4 (pseudonymisierte Domäne): Notebooks werden identifiziert durch Asset-Tag/Geräte-ID und MAC-Adresse/Hostname – NICHT durch Mitarbeiternamen. VictoriaMetrics, Loki und Cisco SNA-Flows referenzieren nur die Geräte-ID. Schicht 6 (kontrollierte Auflösungszone): ServiceNow ESM/ITOM CMDB verknüpft Geräte-ID mit Mitarbeiter – Zugriff nur für die Rolle 'Security Incident Responder', mit Vier-Augen-Prinzip und vollständiger Audit-Protokollierung.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410"/>
        <w:gridCol w:w="7229"/>
      </w:tblGrid>
      <w:tr>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Schicht</w:t>
            </w:r>
          </w:p>
        </w:tc>
        <w:tc>
          <w:tcPr>
            <w:tcW w:type="dxa" w:w="722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Maßnahme</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Telegraf/Alloy</w:t>
            </w:r>
          </w:p>
        </w:tc>
        <w:tc>
          <w:tcPr>
            <w:tcW w:type="dxa" w:w="722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Tag device_id statt username oder hostname mit Klarnamen-Bestandteil</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VictoriaMetrics</w:t>
            </w:r>
          </w:p>
        </w:tc>
        <w:tc>
          <w:tcPr>
            <w:tcW w:type="dxa" w:w="722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Keine Labels mit direktem Personenbezug; kürzere Retention für Notebook-Metriken</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w:t>
            </w:r>
          </w:p>
        </w:tc>
        <w:tc>
          <w:tcPr>
            <w:tcW w:type="dxa" w:w="722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Host-Gruppierung nach Geräte-ID/Subnetz, nicht nach Mitarbeitername</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 CMDB</w:t>
            </w:r>
          </w:p>
        </w:tc>
        <w:tc>
          <w:tcPr>
            <w:tcW w:type="dxa" w:w="722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Einzige Stelle mit Geräte↔Person-Verknüpfung, rollenbasiert geschützt (RBAC)</w:t>
            </w:r>
          </w:p>
        </w:tc>
      </w:tr>
    </w:tbl>
    <w:p>
      <w:pPr>
        <w:pStyle w:val="Heading2"/>
      </w:pPr>
      <w:r>
        <w:t xml:space="preserve">4.4 Mitbestimmungspflicht: Einordnung der Tools</w:t>
      </w:r>
    </w:p>
    <w:p>
      <w:pPr>
        <w:spacing w:after="120" w:before="60"/>
      </w:pPr>
      <w:r>
        <w:rPr>
          <w:rFonts w:ascii="Arial" w:cs="Arial" w:eastAsia="Arial" w:hAnsi="Arial"/>
          <w:sz w:val="21"/>
          <w:szCs w:val="21"/>
        </w:rPr>
        <w:t xml:space="preserve">Basis: § 87 Abs. 1 Nr. 6 BetrVG – Mitbestimmungspflicht bei technischen Einrichtungen, die zur Überwachung von Verhalten/Leistung der Mitarbeiter geeignet sind (Eignung genügt, nicht der tatsächliche Einsatz).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410"/>
        <w:gridCol w:w="433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Tool</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Mitbestimmungspflichtig?</w:t>
            </w:r>
          </w:p>
        </w:tc>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Begründung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Nein</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Reine Netzwerk-Topologie, kein Mitarbeiterbezug</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 (Notebook-Metriken)</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Ja, prüfungsbedürftig</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Erfasst Geräte mit Personenzuordnung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Ja</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NetFlow-Daten zeigen Kommunikationsverhalten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SCOM (AD)</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Ja</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Anmeldezeiten, fehlgeschlagene Logins sind verhaltensbezogen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Filebeat (Windows Event Log)</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Ja</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Je nach Event-IDs ggf. detailliertes Nutzungsprofil möglich</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Automai (synthetic)</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Nein (i.d.R.)</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Bot-generierte Daten, kein Mitarbeiterbezug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CatchPoint</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Nein</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Externe Online-Services, keine Mitarbeiterdaten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Rancher/Istio/Kube-state-metrics</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Nein</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Technische Container-Metriken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Azure AD/Entra ID Sign-In-Logs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Ja</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Anmeldeverhalten von Mitarbeitern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M365 Nutzungsberichte</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Ja</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Explizit nutzerbezogene Aktivitätsdaten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VPC Flow Logs/Network Watcher</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Ja (bei Notebook-Traffic)</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Analog Cisco SNA</w:t>
            </w:r>
          </w:p>
        </w:tc>
      </w:tr>
    </w:tbl>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Empfehlung: Für alle als 'Ja' markierten Tools ist vor Produktivbetrieb eine Betriebsvereinbarung zum IT-Monitoring abzuschließen, die Zweckbindung, Zugriffsberechtigungen/Vier-Augen-Prinzip, Löschfristen und Informationsrechte der Mitarbeitervertretung regelt.</w:t>
      </w:r>
    </w:p>
    <w:p>
      <w:pPr>
        <w:pStyle w:val="Heading2"/>
      </w:pPr>
      <w:r>
        <w:t xml:space="preserve">4.5 Aufbewahrungsfristen (Datenminimierung, Art. 5 Abs. 1 lit. e DSGVO)</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410"/>
        <w:gridCol w:w="1928"/>
        <w:gridCol w:w="2410"/>
        <w:gridCol w:w="2891"/>
      </w:tblGrid>
      <w:tr>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Datenkategorie</w:t>
            </w:r>
          </w:p>
        </w:tc>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Speicherort</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Empfohlene Aufbewahrung</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Begründung</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Rohmetriken (Performance)</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VictoriaMetrics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13 Monate</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Jahresvergleich Kapazitätsplanung</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Aggregierte Langzeit-Trends</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VictoriaMetrics (Downsampling)</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3–5 Jahre</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Kapazitätsplanung, aggregiert</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Infrastruktur-Logs</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Loki</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30–90 Tage</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Operative Diagnose, kein Personenbezug</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Sicherheits-/Audit-Logs</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OpenSearch-Security</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Mind. 6 Monate</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NIS2-Nachweispflicht, BSI-Vorgaben</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Heterogene Infrastruktur-Metriken</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OpenSearch-Infrastruktur</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30–60 Tage</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Operative Diagnose, kein Personenbezug</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 Flow-Daten (Notebooks)</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SNA-eigener Datastore</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30–90 Tage, Verlängerung nur bei Incident</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Zielkonflikt DSGVO vs. Forensik (s. 4.6)</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 Incident-Daten</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 CMDB/Incident</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2–3 Jahre nach Abschluss</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Nachvollziehbarkeit, Revisionssicherheit</w:t>
            </w:r>
          </w:p>
        </w:tc>
      </w:tr>
    </w:tbl>
    <w:p>
      <w:pPr>
        <w:pStyle w:val="Heading2"/>
      </w:pPr>
      <w:r>
        <w:t xml:space="preserve">4.6 Zielkonflikt: NIS2-Forensik vs. DSGVO-Datenminimierung</w:t>
      </w:r>
    </w:p>
    <w:p>
      <w:pPr>
        <w:pStyle w:val="ListParagraph"/>
        <w:numPr>
          <w:ilvl w:val="0"/>
          <w:numId w:val="3"/>
        </w:numPr>
        <w:spacing w:after="30" w:before="30"/>
      </w:pPr>
      <w:r>
        <w:rPr>
          <w:rFonts w:ascii="Arial" w:cs="Arial" w:eastAsia="Arial" w:hAnsi="Arial"/>
          <w:sz w:val="21"/>
          <w:szCs w:val="21"/>
        </w:rPr>
        <w:t xml:space="preserve">NIS2/BSI-Anforderung: Sicherheitsvorfälle müssen rückwirkend analysierbar sein (oft 90+ Tage Flow-Daten gefordert)</w:t>
      </w:r>
    </w:p>
    <w:p>
      <w:pPr>
        <w:pStyle w:val="ListParagraph"/>
        <w:numPr>
          <w:ilvl w:val="0"/>
          <w:numId w:val="3"/>
        </w:numPr>
        <w:spacing w:after="30" w:before="30"/>
      </w:pPr>
      <w:r>
        <w:rPr>
          <w:rFonts w:ascii="Arial" w:cs="Arial" w:eastAsia="Arial" w:hAnsi="Arial"/>
          <w:sz w:val="21"/>
          <w:szCs w:val="21"/>
        </w:rPr>
        <w:t xml:space="preserve">DSGVO-Anforderung: Speicherung nur so lange wie für den Zweck erforderlich (Art. 5 Abs. 1 lit. e)</w:t>
      </w:r>
    </w:p>
    <w:p>
      <w:pPr>
        <w:spacing w:after="120" w:before="60"/>
      </w:pPr>
      <w:r>
        <w:rPr>
          <w:rFonts w:ascii="Arial" w:cs="Arial" w:eastAsia="Arial" w:hAnsi="Arial"/>
          <w:sz w:val="21"/>
          <w:szCs w:val="21"/>
        </w:rPr>
        <w:t xml:space="preserve">Auflösung: Rechtsgrundlage für verlängerte Aufbewahrung von Cisco-SNA-Flow-Daten ist Art. 6 Abs. 1 lit. c DSGVO (rechtliche Verpflichtung aus NIS2/BSIG) in Verbindung mit einer dokumentierten Interessenabwägung (Art. 6 Abs. 1 lit. f). Diese Abwägung muss in der DSFA explizit dokumentiert und mit dem Datenschutzbeauftragten abgestimmt werden.</w:t>
      </w:r>
    </w:p>
    <w:p>
      <w:pPr>
        <w:pStyle w:val="Heading2"/>
      </w:pPr>
      <w:r>
        <w:t xml:space="preserve">4.7 Datenschutz-Folgenabschätzung (DSFA)</w:t>
      </w:r>
    </w:p>
    <w:p>
      <w:pPr>
        <w:spacing w:after="120" w:before="60"/>
      </w:pPr>
      <w:r>
        <w:rPr>
          <w:rFonts w:ascii="Arial" w:cs="Arial" w:eastAsia="Arial" w:hAnsi="Arial"/>
          <w:sz w:val="21"/>
          <w:szCs w:val="21"/>
        </w:rPr>
        <w:t xml:space="preserve">Nach Art. 35 DSGVO ist eine DSFA zwingend erforderlich, wenn eine Verarbeitung voraussichtlich ein hohes Risiko für die Rechte und Freiheiten natürlicher Personen zur Folge hat.</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Einschätzung: Bei 200.000 überwachten Notebooks, systematischer Verhaltensdaten-Erfassung (Cisco SNA) und Kombination mehrerer Datenquellen in ServiceNow ESM/ITOM ist eine DSFA mit hoher Wahrscheinlichkeit verpflichtend. Dies ist fester Bestandteil des Umsetzungsplans (Kapitel 8, Phase 0) vor Produktivschaltung der Sicherheits-Domäne.</w:t>
      </w:r>
    </w:p>
    <w:p>
      <w:pPr>
        <w:pStyle w:val="Heading2"/>
      </w:pPr>
      <w:r>
        <w:t xml:space="preserve">4.8 Rollen- und Zugriffskonzept (Bezug ISO 27001 A.5.15/A.8.2)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855"/>
        <w:gridCol w:w="3373"/>
      </w:tblGrid>
      <w:tr>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Rolle</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Zugriff auf</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Ausgeschlossen von</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NOC/Operations</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Schicht 4–5, pseudonymisierte Daten (device_id)</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Klarnamen-Auflösung in ServiceNow CMDB</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Security Incident Responder</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Schicht 4–6, inkl. Klarnamen-Auflösung</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 (mit Audit-Log-Pflicht)</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Datenschutzbeauftragter</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Read-Only auf Audit-Logs der Auflösungszugriffe</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Operative Eingriffsrechte</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Betriebsrat (auf Anfrage)</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Aggregierte Auswertungen zur Zweckbindungs-Kontrolle</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Einzelfalldaten ohne Anlass</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Infrastructure Operator (Sonstige)</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Nur OpenSearch-Infrastruktur-Cluster</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OpenSearch-Security-Cluster</w:t>
            </w:r>
          </w:p>
        </w:tc>
      </w:tr>
    </w:tbl>
    <w:p>
      <w:pPr>
        <w:pStyle w:val="Heading2"/>
      </w:pPr>
      <w:r>
        <w:t xml:space="preserve">4.9 Klassifikation der Cloud-Datenquellen nach Personenbezug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1928"/>
        <w:gridCol w:w="4337"/>
      </w:tblGrid>
      <w:tr>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Quelle</w:t>
            </w:r>
          </w:p>
        </w:tc>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Klasse</w:t>
            </w:r>
          </w:p>
        </w:tc>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Begründung</w:t>
            </w:r>
          </w:p>
        </w:tc>
      </w:tr>
      <w:tr>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Azure VM-Performance-Metriken</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Klasse 0</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Reine Infrastrukturdaten</w:t>
            </w:r>
          </w:p>
        </w:tc>
      </w:tr>
      <w:tr>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AKS/EKS Cluster-Metriken</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Klasse 0</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Wie Kube-state-metrics</w:t>
            </w:r>
          </w:p>
        </w:tc>
      </w:tr>
      <w:tr>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Azure AD/Entra ID Sign-In-Logs</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Klasse 2–3</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Direkter Personenbezug, ggf. Standort-/Geräteinfo</w:t>
            </w:r>
          </w:p>
        </w:tc>
      </w:tr>
      <w:tr>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M365 Service Health/Nutzungsberichte</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Klasse 2</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Nutzungsintensität pro Mitarbeiter</w:t>
            </w:r>
          </w:p>
        </w:tc>
      </w:tr>
      <w:tr>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VPC Flow Logs/Network Watcher</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Klasse 3</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Vergleichbar mit Cisco SNA</w:t>
            </w:r>
          </w:p>
        </w:tc>
      </w:tr>
    </w:tbl>
    <w:p>
      <w:pPr>
        <w:pStyle w:val="Heading2"/>
      </w:pPr>
      <w:r>
        <w:t xml:space="preserve">4.10 Datenresidenz als zusätzliche Schutzmaßnahme</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Verbindliche Konzept-Vorgabe: Alle Log Analytics Workspaces (Azure) und CloudWatch Log Groups (AWS) mit Personenbezug (Klasse 2–3) müssen in EU-Regionen konfiguriert werden (Azure: EU Data Boundary; AWS: eu-central-1/eu-west-1). Dies reduziert das Drittstaatentransfer-Risiko strukturell statt nur vertraglich.</w:t>
      </w:r>
    </w:p>
    <w:p>
      <w:pPr>
        <w:pStyle w:val="Heading1"/>
        <w:pageBreakBefore/>
      </w:pPr>
      <w:r>
        <w:t xml:space="preserve">Kapitel 6: Rollen und Prozesse</w:t>
      </w:r>
    </w:p>
    <w:p>
      <w:pPr>
        <w:pStyle w:val="Heading2"/>
      </w:pPr>
      <w:r>
        <w:t xml:space="preserve">6.1 Lieferanten- und Vertragsmanagement</w:t>
      </w:r>
    </w:p>
    <w:p>
      <w:pPr>
        <w:spacing w:after="120" w:before="60"/>
      </w:pPr>
      <w:r>
        <w:rPr>
          <w:rFonts w:ascii="Arial" w:cs="Arial" w:eastAsia="Arial" w:hAnsi="Arial"/>
          <w:sz w:val="21"/>
          <w:szCs w:val="21"/>
        </w:rPr>
        <w:t xml:space="preserve">Mit sechs parallelen Stacks und mehreren externen/kommerziellen Anbietern entsteht ein wiederkehrender Pflege- und Nachweisaufwand, der einen eigenen, terminierten Prozess braucht.</w:t>
      </w:r>
    </w:p>
    <w:p>
      <w:pPr>
        <w:pStyle w:val="Heading3"/>
      </w:pPr>
      <w:r>
        <w:t xml:space="preserve">6.1.1 Betroffene Lieferantenbeziehungen</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5"/>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Lieferant</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Bezug zum Konzept</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Nachweis-Typ</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Microsoft (Azure, SCOM, M365)</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1 + 5</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BSI C5-Testat, ISO 27001, SCC/DPF</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AWS</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5</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BSI C5-Testat, ISO 27001, SCC</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2</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ISO 27001, Patch-/CVE-Historie</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CatchPoint (Teil von LogicMonitor)</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4</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ISO 27001, Vertrags-/Roadmap-Kontinuität nach M&amp;A</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Automai</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4</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Standard-Software-Lieferantennachweis</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Föderationsschicht</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ISO 27001, SOC 2</w:t>
            </w:r>
          </w:p>
        </w:tc>
      </w:tr>
    </w:tbl>
    <w:p>
      <w:pPr>
        <w:pStyle w:val="Heading3"/>
      </w:pPr>
      <w:r>
        <w:t xml:space="preserve">6.1.2 Rolle: Monitoring-Lieferantenmanager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5"/>
        <w:gridCol w:w="3373"/>
      </w:tblGrid>
      <w:tr>
        <w:tc>
          <w:tcPr>
            <w:tcW w:type="dxa" w:w="626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Aufgabe</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Turnus</w:t>
            </w:r>
          </w:p>
        </w:tc>
      </w:tr>
      <w:tr>
        <w:tc>
          <w:tcPr>
            <w:tcW w:type="dxa" w:w="626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Einholung/Prüfung aktueller Zertifikate (BSI C5, ISO 27001)</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Jährlich</w:t>
            </w:r>
          </w:p>
        </w:tc>
      </w:tr>
      <w:tr>
        <w:tc>
          <w:tcPr>
            <w:tcW w:type="dxa" w:w="626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Prüfung SCC/EU-US DPF Bestand</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Jährlich + ad hoc bei Gerichtsentscheidungen</w:t>
            </w:r>
          </w:p>
        </w:tc>
      </w:tr>
      <w:tr>
        <w:tc>
          <w:tcPr>
            <w:tcW w:type="dxa" w:w="626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Kontrolle Datenresidenz-Konfiguration (EU-Region)</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Halbjährlich, stichprobenhaft</w:t>
            </w:r>
          </w:p>
        </w:tc>
      </w:tr>
      <w:tr>
        <w:tc>
          <w:tcPr>
            <w:tcW w:type="dxa" w:w="626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Beobachtung von M&amp;A-Ereignissen bei Tool-Anbietern</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Laufend, anlassbezogen</w:t>
            </w:r>
          </w:p>
        </w:tc>
      </w:tr>
      <w:tr>
        <w:tc>
          <w:tcPr>
            <w:tcW w:type="dxa" w:w="626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Pflege Lieferanten-Nachweis-Register</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Laufend</w:t>
            </w:r>
          </w:p>
        </w:tc>
      </w:tr>
      <w:tr>
        <w:tc>
          <w:tcPr>
            <w:tcW w:type="dxa" w:w="626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Eskalation bei Wegfall eines Nachweises</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Sofort an CISO/Datenschutzbeauftragten</w:t>
            </w:r>
          </w:p>
        </w:tc>
      </w:tr>
    </w:tbl>
    <w:p>
      <w:pPr>
        <w:pStyle w:val="Heading3"/>
      </w:pPr>
      <w:r>
        <w:t xml:space="preserve">6.1.3 Lieferanten-Nachweis-Register (Mindestinhalt)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Feld</w:t>
            </w:r>
          </w:p>
        </w:tc>
        <w:tc>
          <w:tcPr>
            <w:tcW w:type="dxa" w:w="626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Beispiel</w:t>
            </w:r>
          </w:p>
        </w:tc>
      </w:tr>
      <w:tr>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Lieferant</w:t>
            </w:r>
          </w:p>
        </w:tc>
        <w:tc>
          <w:tcPr>
            <w:tcW w:type="dxa" w:w="626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AWS</w:t>
            </w:r>
          </w:p>
        </w:tc>
      </w:tr>
      <w:tr>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Betroffener Stack</w:t>
            </w:r>
          </w:p>
        </w:tc>
        <w:tc>
          <w:tcPr>
            <w:tcW w:type="dxa" w:w="626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5 (Cloud)</w:t>
            </w:r>
          </w:p>
        </w:tc>
      </w:tr>
      <w:tr>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Zertifikat/Nachweis</w:t>
            </w:r>
          </w:p>
        </w:tc>
        <w:tc>
          <w:tcPr>
            <w:tcW w:type="dxa" w:w="626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BSI C5 Typ 2</w:t>
            </w:r>
          </w:p>
        </w:tc>
      </w:tr>
      <w:tr>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Gültig bis</w:t>
            </w:r>
          </w:p>
        </w:tc>
        <w:tc>
          <w:tcPr>
            <w:tcW w:type="dxa" w:w="626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TT.MM.JJJJ</w:t>
            </w:r>
          </w:p>
        </w:tc>
      </w:tr>
      <w:tr>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Rechtsgrundlage Datentransfer</w:t>
            </w:r>
          </w:p>
        </w:tc>
        <w:tc>
          <w:tcPr>
            <w:tcW w:type="dxa" w:w="626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SCC (automatisch Bestandteil der Servicebedingungen)</w:t>
            </w:r>
          </w:p>
        </w:tc>
      </w:tr>
      <w:tr>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Genutzte Region(en)</w:t>
            </w:r>
          </w:p>
        </w:tc>
        <w:tc>
          <w:tcPr>
            <w:tcW w:type="dxa" w:w="626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eu-central-1 (Frankfurt)</w:t>
            </w:r>
          </w:p>
        </w:tc>
      </w:tr>
      <w:tr>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Letzte Prüfung</w:t>
            </w:r>
          </w:p>
        </w:tc>
        <w:tc>
          <w:tcPr>
            <w:tcW w:type="dxa" w:w="626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TT.MM.JJJJ</w:t>
            </w:r>
          </w:p>
        </w:tc>
      </w:tr>
      <w:tr>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Verantwortlich</w:t>
            </w:r>
          </w:p>
        </w:tc>
        <w:tc>
          <w:tcPr>
            <w:tcW w:type="dxa" w:w="626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Name/Rolle</w:t>
            </w:r>
          </w:p>
        </w:tc>
      </w:tr>
    </w:tbl>
    <w:p>
      <w:pPr>
        <w:spacing w:after="120" w:before="60"/>
      </w:pPr>
      <w:r>
        <w:rPr>
          <w:rFonts w:ascii="Arial" w:cs="Arial" w:eastAsia="Arial" w:hAnsi="Arial"/>
          <w:i/>
          <w:iCs/>
          <w:color w:val="595959"/>
          <w:sz w:val="21"/>
          <w:szCs w:val="21"/>
        </w:rPr>
        <w:t xml:space="preserve">Prozessregel: Jede Änderung der Rechtsgrundlage eines Drittstaatentransfers (z.B. Verlust eines Angemessenheitsbeschlusses) löst automatisch eine Neubewertung der betroffenen DSFA aus – nicht erst die nächste turnusmäßige Überprüfung.</w:t>
      </w:r>
    </w:p>
    <w:p>
      <w:pPr>
        <w:pStyle w:val="Heading2"/>
      </w:pPr>
      <w:r>
        <w:t xml:space="preserve">6.2 Rollenmodell für den Monitoring-Betrieb</w:t>
      </w:r>
    </w:p>
    <w:p>
      <w:pPr>
        <w:pStyle w:val="Heading3"/>
      </w:pPr>
      <w:r>
        <w:t xml:space="preserve">6.2.1 Stack-verantwortliche Rollen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337"/>
        <w:gridCol w:w="2410"/>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Rolle</w:t>
            </w:r>
          </w:p>
        </w:tc>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Verantwortet</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Stack(s)</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Windows/Microsoft-Operator</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SCOM-Betrieb, Management-Pack-Pflege</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1</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Network &amp; Security Operator (NOC)</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 Cisco SNA, Alloy/VictoriaMetrics/Loki, Grafana</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2</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Platform Engineer (Kubernetes)</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Rancher, Istio, Kiali, Kube-state-metrics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3</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Digital Experience Operator</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Automai-Szenarien, CatchPoint-Konfiguration</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4</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 Operations Engineer</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Azure Monitor, CloudWatch, Hybrid-Konnektivität</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5</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Infrastructure Operator (Sonstige Systeme)</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Telegraf/OpenSearch für S3/Kafka/Drucker/RZ</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6</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Monitoring-Lieferantenmanager</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Lieferanten-Nachweise (6.1)</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Föderationsschicht</w:t>
            </w:r>
          </w:p>
        </w:tc>
      </w:tr>
    </w:tbl>
    <w:p>
      <w:pPr>
        <w:pStyle w:val="Heading3"/>
      </w:pPr>
      <w:r>
        <w:t xml:space="preserve">6.2.2 Stack-übergreifende Rollen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4337"/>
        <w:gridCol w:w="2410"/>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Rolle</w:t>
            </w:r>
          </w:p>
        </w:tc>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Aufgabe</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Zugriffsumfang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 Event Manager</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Korrelationsregeln, CMDB-Abgleich, Deduplizierung über alle Stacks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Schicht 6, alle Stacks lesend</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Security Incident Responder</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Eskalation bei Sicherheitsvorfällen, Klarnamen-Auflösung</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Schicht 4–6, inkl. Auflösung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Monitoring-Architekt</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Gesamtarchitektur, genehmigt neue Datenquellen/Tools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Konzeptionell</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Datenschutzbeauftragter</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Zweckbindungsprüfung, Audit Auflösungszugriffe</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Read-Only Audit-Logs</w:t>
            </w:r>
          </w:p>
        </w:tc>
      </w:tr>
    </w:tbl>
    <w:p>
      <w:pPr>
        <w:pStyle w:val="Heading3"/>
      </w:pPr>
      <w:r>
        <w:t xml:space="preserve">6.2.3 Verantwortungs-Matrix (RACI, vereinfacht)</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891"/>
        <w:gridCol w:w="1349"/>
        <w:gridCol w:w="1349"/>
        <w:gridCol w:w="1349"/>
        <w:gridCol w:w="1349"/>
        <w:gridCol w:w="1349"/>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Aktivität</w:t>
            </w:r>
          </w:p>
        </w:tc>
        <w:tc>
          <w:tcPr>
            <w:tcW w:type="dxa" w:w="134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NOC</w:t>
            </w:r>
          </w:p>
        </w:tc>
        <w:tc>
          <w:tcPr>
            <w:tcW w:type="dxa" w:w="134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Platform Eng.</w:t>
            </w:r>
          </w:p>
        </w:tc>
        <w:tc>
          <w:tcPr>
            <w:tcW w:type="dxa" w:w="134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Cloud Ops</w:t>
            </w:r>
          </w:p>
        </w:tc>
        <w:tc>
          <w:tcPr>
            <w:tcW w:type="dxa" w:w="134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Security Resp.</w:t>
            </w:r>
          </w:p>
        </w:tc>
        <w:tc>
          <w:tcPr>
            <w:tcW w:type="dxa" w:w="134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ServiceNow Mgr</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Netzwerk-Ausfall beheben</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Kubernetes-Pod-Crash beheben</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Sicherheitsvorfall (Cisco SNA-Alarm)</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Cloud-Region-Ausfall</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w:t>
            </w:r>
          </w:p>
        </w:tc>
        <w:tc>
          <w:tcPr>
            <w:tcW w:type="dxa" w:w="134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Neue Korrelationsregel anlegen</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w:t>
            </w:r>
          </w:p>
        </w:tc>
        <w:tc>
          <w:tcPr>
            <w:tcW w:type="dxa" w:w="134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w:t>
            </w:r>
          </w:p>
        </w:tc>
      </w:tr>
    </w:tbl>
    <w:p>
      <w:pPr>
        <w:pStyle w:val="Heading2"/>
      </w:pPr>
      <w:r>
        <w:t xml:space="preserve">6.3 Eskalationsprozess</w:t>
      </w:r>
    </w:p>
    <w:p>
      <w:pPr>
        <w:pStyle w:val="Heading3"/>
      </w:pPr>
      <w:r>
        <w:t xml:space="preserve">6.3.1 Eskalationsstufen</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Stufe 1: Automatische Erkennung (einer der 6 Stacks) → Stufe 2: Aggregation &amp; Deduplizierung (Karma / ServiceNow Event Management) → Stufe 3: Korrelation &amp; Kontextualisierung (CMDB-Zuordnung, Schweregrad) → Stufe 4: Klassifikation (Standard-Incident vs. Security-Incident) → Stufe 5: Zuweisung an Stack-Rolle oder Security Incident Responder</w:t>
      </w:r>
    </w:p>
    <w:p>
      <w:pPr>
        <w:pStyle w:val="Heading3"/>
      </w:pPr>
      <w:r>
        <w:t xml:space="preserve">6.3.2 Zeitvorgaben (SLA) je Schweregrad</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1928"/>
        <w:gridCol w:w="3855"/>
        <w:gridCol w:w="1928"/>
        <w:gridCol w:w="1928"/>
      </w:tblGrid>
      <w:tr>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Severity</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Beispiel</w:t>
            </w:r>
          </w:p>
        </w:tc>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Reaktionszeit</w:t>
            </w:r>
          </w:p>
        </w:tc>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Bezug</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Sev 1 – Kritisch</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Kernnetz-Ausfall, KRITIS-relevant</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15 Minuten</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BSI KRITIS-V</w:t>
            </w:r>
          </w:p>
        </w:tc>
      </w:tr>
      <w:tr>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Sev 2 – Hoch</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Standort-Anbindung, Cloud-Region-Problem</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1 Stunde</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ISO 27001</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Sev 3 – Mittel</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Einzelnes Notebook nicht erreichbar</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4 Stunden</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Standard-Betrieb</w:t>
            </w:r>
          </w:p>
        </w:tc>
      </w:tr>
      <w:tr>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Sev 4 – Niedrig</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Informativer Hinweis, Kapazitätstrend</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Nächster Werktag</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Kapazitätsplanung</w:t>
            </w:r>
          </w:p>
        </w:tc>
      </w:tr>
    </w:tbl>
    <w:p>
      <w:pPr>
        <w:pStyle w:val="Heading3"/>
      </w:pPr>
      <w:r>
        <w:t xml:space="preserve">6.3.3 Sonderprozess: NIS2-Meldepflicht</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Sicherheitsvorfall erkannt → Security Incident Responder bewertet 'erheblicher Sicherheitsvorfall?' → JA: Frühwarnung an BSI binnen 24h → Vollständige Meldung binnen 72h (Art, Schwere, Auswirkung) → Abschlussbericht binnen 1 Monat.</w:t>
      </w:r>
    </w:p>
    <w:p>
      <w:pPr>
        <w:spacing w:after="120" w:before="60"/>
      </w:pPr>
      <w:r>
        <w:rPr>
          <w:rFonts w:ascii="Arial" w:cs="Arial" w:eastAsia="Arial" w:hAnsi="Arial"/>
          <w:sz w:val="21"/>
          <w:szCs w:val="21"/>
        </w:rPr>
        <w:t xml:space="preserve">Kritische Voraussetzung: Die 24h-Frist ist nur einhaltbar, wenn die Nachweisbarkeit (Cisco SNA Flow-Daten, ServiceNow-Korrelation) bereits vor dem Vorfall produktiv und funktionsfähig ist.</w:t>
      </w:r>
    </w:p>
    <w:p>
      <w:pPr>
        <w:pStyle w:val="Heading3"/>
      </w:pPr>
      <w:r>
        <w:t xml:space="preserve">6.3.4 Eskalation bei Multi-Stack-Vorfällen</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Prozessregel: ServiceNow Event Management ist verpflichtend die einzige Stelle, an der stack-übergreifende Korrelation erfolgt. Einzelne Stack-Operatoren eskalieren nicht direkt zueinander, sondern ausschließlich über ServiceNow, um Daueralarme durch Mehrfachmeldung zu vermeiden (Alert-Storm-Control).</w:t>
      </w:r>
    </w:p>
    <w:p>
      <w:pPr>
        <w:pStyle w:val="Heading2"/>
      </w:pPr>
      <w:r>
        <w:t xml:space="preserve">6.4 Regelkommunikation und Reporting</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2295"/>
        <w:gridCol w:w="1836"/>
        <w:gridCol w:w="2754"/>
        <w:gridCol w:w="2754"/>
      </w:tblGrid>
      <w:tr>
        <w:tc>
          <w:tcPr>
            <w:tcW w:type="dxa" w:w="229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Format</w:t>
            </w:r>
          </w:p>
        </w:tc>
        <w:tc>
          <w:tcPr>
            <w:tcW w:type="dxa" w:w="1836"/>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Frequenz</w:t>
            </w:r>
          </w:p>
        </w:tc>
        <w:tc>
          <w:tcPr>
            <w:tcW w:type="dxa" w:w="2754"/>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Zielgruppe</w:t>
            </w:r>
          </w:p>
        </w:tc>
        <w:tc>
          <w:tcPr>
            <w:tcW w:type="dxa" w:w="2754"/>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Inhalt</w:t>
            </w:r>
          </w:p>
        </w:tc>
      </w:tr>
      <w:tr>
        <w:tc>
          <w:tcPr>
            <w:tcW w:type="dxa" w:w="229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Operatives Stand-up</w:t>
            </w:r>
          </w:p>
        </w:tc>
        <w:tc>
          <w:tcPr>
            <w:tcW w:type="dxa" w:w="183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Täglich</w:t>
            </w:r>
          </w:p>
        </w:tc>
        <w:tc>
          <w:tcPr>
            <w:tcW w:type="dxa" w:w="2754"/>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NOC, Platform Eng., Cloud Ops</w:t>
            </w:r>
          </w:p>
        </w:tc>
        <w:tc>
          <w:tcPr>
            <w:tcW w:type="dxa" w:w="2754"/>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Offene Sev1/Sev2-Vorfälle</w:t>
            </w:r>
          </w:p>
        </w:tc>
      </w:tr>
      <w:tr>
        <w:tc>
          <w:tcPr>
            <w:tcW w:type="dxa" w:w="229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Stack-Health-Review</w:t>
            </w:r>
          </w:p>
        </w:tc>
        <w:tc>
          <w:tcPr>
            <w:tcW w:type="dxa" w:w="183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Wöchentlich</w:t>
            </w:r>
          </w:p>
        </w:tc>
        <w:tc>
          <w:tcPr>
            <w:tcW w:type="dxa" w:w="2754"/>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Stack-Verantwortliche</w:t>
            </w:r>
          </w:p>
        </w:tc>
        <w:tc>
          <w:tcPr>
            <w:tcW w:type="dxa" w:w="2754"/>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Kapazitätstrends, wiederkehrende Probleme</w:t>
            </w:r>
          </w:p>
        </w:tc>
      </w:tr>
      <w:tr>
        <w:tc>
          <w:tcPr>
            <w:tcW w:type="dxa" w:w="229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Compliance-Review</w:t>
            </w:r>
          </w:p>
        </w:tc>
        <w:tc>
          <w:tcPr>
            <w:tcW w:type="dxa" w:w="183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Quartalsweise</w:t>
            </w:r>
          </w:p>
        </w:tc>
        <w:tc>
          <w:tcPr>
            <w:tcW w:type="dxa" w:w="2754"/>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CISO, DSB, Monitoring-Architekt</w:t>
            </w:r>
          </w:p>
        </w:tc>
        <w:tc>
          <w:tcPr>
            <w:tcW w:type="dxa" w:w="2754"/>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NIS2-Meldungen, DSFA-Status, Lieferanten-Nachweise</w:t>
            </w:r>
          </w:p>
        </w:tc>
      </w:tr>
      <w:tr>
        <w:tc>
          <w:tcPr>
            <w:tcW w:type="dxa" w:w="229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Betriebsrats-Information</w:t>
            </w:r>
          </w:p>
        </w:tc>
        <w:tc>
          <w:tcPr>
            <w:tcW w:type="dxa" w:w="183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Halbjährlich</w:t>
            </w:r>
          </w:p>
        </w:tc>
        <w:tc>
          <w:tcPr>
            <w:tcW w:type="dxa" w:w="2754"/>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Betriebsrat</w:t>
            </w:r>
          </w:p>
        </w:tc>
        <w:tc>
          <w:tcPr>
            <w:tcW w:type="dxa" w:w="2754"/>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Aggregierte Auswertungen gem. Betriebsvereinbarung</w:t>
            </w:r>
          </w:p>
        </w:tc>
      </w:tr>
      <w:tr>
        <w:tc>
          <w:tcPr>
            <w:tcW w:type="dxa" w:w="229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BSI-Nachweis</w:t>
            </w:r>
          </w:p>
        </w:tc>
        <w:tc>
          <w:tcPr>
            <w:tcW w:type="dxa" w:w="183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Alle 2 Jahre</w:t>
            </w:r>
          </w:p>
        </w:tc>
        <w:tc>
          <w:tcPr>
            <w:tcW w:type="dxa" w:w="2754"/>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BSI (sofern KRITIS)</w:t>
            </w:r>
          </w:p>
        </w:tc>
        <w:tc>
          <w:tcPr>
            <w:tcW w:type="dxa" w:w="2754"/>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 8a BSIG-Nachweis</w:t>
            </w:r>
          </w:p>
        </w:tc>
      </w:tr>
    </w:tbl>
    <w:p>
      <w:pPr>
        <w:pStyle w:val="Heading2"/>
      </w:pPr>
      <w:r>
        <w:t xml:space="preserve">6.5 Onboarding neuer Datenquellen – Change-Prozess</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1. Antrag durch Fachbereich/Stack-Operator → 2. Prüfung Monitoring-Architekt (passt in Domäne A-G?) → 3. Prüfung DSB (Personenbezug Klasse 0-3?) → bei Klasse 2-3: Betriebsrat-Information/Mitbestimmung nötig → 4. Prüfung Monitoring-Lieferantenmanager (neuer Drittanbieter?) → 5. Umsetzung + Dokumentation im Architektur-Register</w:t>
      </w:r>
    </w:p>
    <w:p>
      <w:pPr>
        <w:pStyle w:val="Heading1"/>
        <w:pageBreakBefore/>
      </w:pPr>
      <w:r>
        <w:t xml:space="preserve">Kapitel 7: Skalierung und Performance</w:t>
      </w:r>
    </w:p>
    <w:p>
      <w:pPr>
        <w:pStyle w:val="Heading2"/>
      </w:pPr>
      <w:r>
        <w:t xml:space="preserve">7.1 Dimensionierung der Architektur</w:t>
      </w:r>
    </w:p>
    <w:p>
      <w:pPr>
        <w:pStyle w:val="Heading3"/>
      </w:pPr>
      <w:r>
        <w:t xml:space="preserve">7.1.1 Erwartetes Datenvolumen (Größenordnung)</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1"/>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Quelle</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Geschätzte Rate</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Herausforderung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 auf 200.000 Notebooks</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 33.000 Datenpunkte/Sekunde (10 Metriken/60s)</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Cardinality, Netzwerklast</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 SNMP-Polling (500.000 IPs)</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 1.667 Polls/Sekunde (5-Min-Intervall)</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Polling-Last, Discovery-Dauer</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 NetFlow</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&gt;100.000 Flows/Sekunde möglich</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Speicher-/Analyse-Durchsatz</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Kubernetes (Rancher/Istio)</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Stark variabel (Pod-Churn-Rate)</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Kurzlebige Cardinality</w:t>
            </w:r>
          </w:p>
        </w:tc>
      </w:tr>
    </w:tbl>
    <w:p>
      <w:pPr>
        <w:pStyle w:val="Heading3"/>
      </w:pPr>
      <w:r>
        <w:t xml:space="preserve">7.1.2 Kernprinzip: Horizontale Segmentierung</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Nicht: Eine zentrale Instanz verarbeitet alles. Richtig: Regionale/funktionale Segmentierung (Standort-Pools für Alloy/NNMi) mit zentraler Aggregationsebene (VictoriaMetrics Cluster-Modus).</w:t>
      </w:r>
    </w:p>
    <w:p>
      <w:pPr>
        <w:pStyle w:val="Heading2"/>
      </w:pPr>
      <w:r>
        <w:t xml:space="preserve">7.2 Skalierung je Architektur-Schicht</w:t>
      </w:r>
    </w:p>
    <w:p>
      <w:pPr>
        <w:pStyle w:val="Heading3"/>
      </w:pPr>
      <w:r>
        <w:t xml:space="preserve">7.2.1 Schicht 1–2 (Erfassung/Agenten)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Maßnahme</w:t>
            </w:r>
          </w:p>
        </w:tc>
        <w:tc>
          <w:tcPr>
            <w:tcW w:type="dxa" w:w="578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Begründung</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Regionale NNMi-Poller statt zentraler Instanz</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Verteilt SNMP-Last, hält Polling-Intervalle bei 500.000 IPs einhaltbar</w:t>
            </w:r>
          </w:p>
        </w:tc>
      </w:tr>
      <w:tr>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 mit angepasstem Interval je Kritikalitätsklasse</w:t>
            </w:r>
          </w:p>
        </w:tc>
        <w:tc>
          <w:tcPr>
            <w:tcW w:type="dxa" w:w="578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Notebooks seltener pollen als Kernnetz-Komponenten</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 Flow Collector-Cluster</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Lastverteilung statt Einzelinstanz bei dieser Größenordnung</w:t>
            </w:r>
          </w:p>
        </w:tc>
      </w:tr>
      <w:tr>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Discovery-Batching bei NNMi</w:t>
            </w:r>
          </w:p>
        </w:tc>
        <w:tc>
          <w:tcPr>
            <w:tcW w:type="dxa" w:w="578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Subnetz-Batches statt einmaligem Großdurchlauf</w:t>
            </w:r>
          </w:p>
        </w:tc>
      </w:tr>
    </w:tbl>
    <w:p>
      <w:pPr>
        <w:pStyle w:val="Heading3"/>
      </w:pPr>
      <w:r>
        <w:t xml:space="preserve">7.2.2 Schicht 3 (Sammlung – Alloy)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Maßnahme</w:t>
            </w:r>
          </w:p>
        </w:tc>
        <w:tc>
          <w:tcPr>
            <w:tcW w:type="dxa" w:w="578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Begründung</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Mehrere Alloy-Instanzen pro Standort</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Vermeidet Single-Point-of-Bottleneck</w:t>
            </w:r>
          </w:p>
        </w:tc>
      </w:tr>
      <w:tr>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Label-Reduktion vor dem Forward</w:t>
            </w:r>
          </w:p>
        </w:tc>
        <w:tc>
          <w:tcPr>
            <w:tcW w:type="dxa" w:w="578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Reduziert Cardinality downstream</w:t>
            </w:r>
          </w:p>
        </w:tc>
      </w:tr>
      <w:tr>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Batching/Queueing (remote_write Queue-Config)</w:t>
            </w:r>
          </w:p>
        </w:tc>
        <w:tc>
          <w:tcPr>
            <w:tcW w:type="dxa" w:w="578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Höhere capacity/max_shards-Werte bei 500k IPs</w:t>
            </w:r>
          </w:p>
        </w:tc>
      </w:tr>
    </w:tbl>
    <w:p>
      <w:pPr>
        <w:pStyle w:val="Heading3"/>
      </w:pPr>
      <w:r>
        <w:t xml:space="preserve">7.2.3 Schicht 4 (Speicherung)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Komponente</w:t>
            </w:r>
          </w:p>
        </w:tc>
        <w:tc>
          <w:tcPr>
            <w:tcW w:type="dxa" w:w="674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Funktion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vminsert</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Verteilt eingehende Schreiblast über mehrere Storage-Nodes</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vmstorage (mehrere Nodes)</w:t>
            </w:r>
          </w:p>
        </w:tc>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Horizontale Skalierung der Datenhaltung</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vmselect</w:t>
            </w:r>
          </w:p>
        </w:tc>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Verteilte Query-Verarbeitung</w:t>
            </w:r>
          </w:p>
        </w:tc>
      </w:tr>
    </w:tbl>
    <w:p>
      <w:pPr>
        <w:spacing w:after="120" w:before="60"/>
      </w:pPr>
      <w:r>
        <w:rPr>
          <w:rFonts w:ascii="Arial" w:cs="Arial" w:eastAsia="Arial" w:hAnsi="Arial"/>
          <w:i/>
          <w:iCs/>
          <w:color w:val="595959"/>
          <w:sz w:val="21"/>
          <w:szCs w:val="21"/>
        </w:rPr>
        <w:t xml:space="preserve">Loki benötigt bei hohem Log-Volumen ebenfalls den Microservices-Modus (statt Monolith) mit separat skalierbaren Komponenten (Distributor, Ingester, Querier).</w:t>
      </w:r>
    </w:p>
    <w:p>
      <w:pPr>
        <w:pStyle w:val="Heading3"/>
      </w:pPr>
      <w:r>
        <w:t xml:space="preserve">7.2.4 Schicht 5–6 (Visualisierung, ServiceNow)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5301"/>
      </w:tblGrid>
      <w:tr>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Risiko</w:t>
            </w:r>
          </w:p>
        </w:tc>
        <w:tc>
          <w:tcPr>
            <w:tcW w:type="dxa" w:w="530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Maßnahme</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Grafana-Dashboards langsam bei 500k Zeitreihen</w:t>
            </w:r>
          </w:p>
        </w:tc>
        <w:tc>
          <w:tcPr>
            <w:tcW w:type="dxa" w:w="530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Recording Rules statt Ad-hoc-Queries auf Rohdaten</w:t>
            </w:r>
          </w:p>
        </w:tc>
      </w:tr>
      <w:tr>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Karma-Performance bei vielen Alertmanager-Instanzen</w:t>
            </w:r>
          </w:p>
        </w:tc>
        <w:tc>
          <w:tcPr>
            <w:tcW w:type="dxa" w:w="530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Monitoring der Karma-Instanz selbst notwendig</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 Event-Flut bei Massenausfällen</w:t>
            </w:r>
          </w:p>
        </w:tc>
        <w:tc>
          <w:tcPr>
            <w:tcW w:type="dxa" w:w="530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Alert-Storm-Control: Parent-Incident statt Einzeltickets</w:t>
            </w:r>
          </w:p>
        </w:tc>
      </w:tr>
    </w:tbl>
    <w:p>
      <w:pPr>
        <w:pStyle w:val="Heading2"/>
      </w:pPr>
      <w:r>
        <w:t xml:space="preserve">7.3 Cardinality-Management</w:t>
      </w:r>
    </w:p>
    <w:p>
      <w:pPr>
        <w:pStyle w:val="Heading3"/>
      </w:pPr>
      <w:r>
        <w:t xml:space="preserve">7.3.1 Risikoreiche Label-Kombinationen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855"/>
        <w:gridCol w:w="3373"/>
      </w:tblGrid>
      <w:tr>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Label</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Risiko</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Empfehlung</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device_id × metric_name</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2.000.000 aktive Zeitreihen allein durch Notebooks</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Vertretbar für VictoriaMetrics, Obergrenze beachten</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device_id × request_uri</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Explosion in Millionenbereich</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Niemals kombinieren – nur aggregierte Statuskategorie</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Kubernetes Pod-Namen</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Kurzlebige IDs erzeugen ständig neue Zeitreihen</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workload/deployment-Labels statt pod_name</w:t>
            </w:r>
          </w:p>
        </w:tc>
      </w:tr>
    </w:tbl>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Cardinality-Grundsatz: Jedes individualisierende Label (device_id, hostname) darf NICHT mit einem weiteren hochkardinalen Feld (URL, Pod-Name, Session-ID) kombiniert werden. Pflichtprüfpunkt im Change-Prozess (Kapitel 6.5).</w:t>
      </w:r>
    </w:p>
    <w:p>
      <w:pPr>
        <w:pStyle w:val="Heading2"/>
      </w:pPr>
      <w:r>
        <w:t xml:space="preserve">7.4 Skalierung der Stacks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Stack</w:t>
            </w:r>
          </w:p>
        </w:tc>
        <w:tc>
          <w:tcPr>
            <w:tcW w:type="dxa" w:w="77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Skalierungsaspekt</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1 – SCOM</w:t>
            </w:r>
          </w:p>
        </w:tc>
        <w:tc>
          <w:tcPr>
            <w:tcW w:type="dxa" w:w="77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Management-Group-Hierarchie mit mehreren Management Servern statt Einzelinstanz</w:t>
            </w:r>
          </w:p>
        </w:tc>
      </w:tr>
      <w:tr>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3 – Rancher/Kubernetes</w:t>
            </w:r>
          </w:p>
        </w:tc>
        <w:tc>
          <w:tcPr>
            <w:tcW w:type="dxa" w:w="77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Per-Cluster-Monitoring mit optionaler Federation, nicht zentraler Prometheus</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4 – CatchPoint/Automai</w:t>
            </w:r>
          </w:p>
        </w:tc>
        <w:tc>
          <w:tcPr>
            <w:tcW w:type="dxa" w:w="77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Skalierung liegt beim SaaS-Anbieter; Lizenzplanung nach Testpunkt-Anzahl</w:t>
            </w:r>
          </w:p>
        </w:tc>
      </w:tr>
      <w:tr>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5 – Cloud</w:t>
            </w:r>
          </w:p>
        </w:tc>
        <w:tc>
          <w:tcPr>
            <w:tcW w:type="dxa" w:w="77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Native Skalierung; Risiko liegt in Kosten (datenvolumenbasierte Abrechnung), nicht Kapazität</w:t>
            </w:r>
          </w:p>
        </w:tc>
      </w:tr>
    </w:tbl>
    <w:p>
      <w:pPr>
        <w:pStyle w:val="Heading2"/>
      </w:pPr>
      <w:r>
        <w:t xml:space="preserve">7.5 Kapazitätsplanung als wiederkehrender Prozess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2410"/>
        <w:gridCol w:w="2891"/>
      </w:tblGrid>
      <w:tr>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Aktivität</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Frequenz</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Verantwortlich</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Cardinality-Audit (aktive Zeitreihen je Stack)</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Monatlich</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Monitoring-Architekt</w:t>
            </w:r>
          </w:p>
        </w:tc>
      </w:tr>
      <w:tr>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VictoriaMetrics/Loki Storage-Kapazitätsprüfung</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Monatlich</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Network &amp; Security Operator</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Re-Evaluierung Polling-Intervalle vs. Netzwerklast</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Quartalsweise</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NOC</w:t>
            </w:r>
          </w:p>
        </w:tc>
      </w:tr>
      <w:tr>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Lasttest bei signifikanter Notebook-Zahl-Änderung</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Anlassbezogen</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Monitoring-Architekt</w:t>
            </w:r>
          </w:p>
        </w:tc>
      </w:tr>
    </w:tbl>
    <w:p>
      <w:pPr>
        <w:pStyle w:val="Heading1"/>
        <w:pageBreakBefore/>
      </w:pPr>
      <w:r>
        <w:t xml:space="preserve">Vertiefung: Netzwerkmonitoring und Netzwerk-Observability</w:t>
      </w:r>
    </w:p>
    <w:p>
      <w:pPr>
        <w:pStyle w:val="Heading2"/>
      </w:pPr>
      <w:r>
        <w:t xml:space="preserve">V.1 Begriffliche Klärung: Monitoring vs. Observability</w:t>
      </w:r>
    </w:p>
    <w:p>
      <w:pPr>
        <w:spacing w:after="120" w:before="60"/>
      </w:pPr>
      <w:r>
        <w:rPr>
          <w:rFonts w:ascii="Arial" w:cs="Arial" w:eastAsia="Arial" w:hAnsi="Arial"/>
          <w:sz w:val="21"/>
          <w:szCs w:val="21"/>
        </w:rPr>
        <w:t xml:space="preserve">Netzwerk-Monitoring bezeichnet die Erfassung von Metriken aus der Netzwerkinfrastruktur. Netzwerk-Observability geht einen Schritt weiter: Sie misst, wie gut diese Daten analysiert, kontextualisiert und in Handlungen umgesetzt werden können. Der Unterschied liegt zwischen der Frage 'Was' und der Frage 'Warum'.</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Monitoring: 'Link X ist down.' Observability: 'Link X ist down, WEIL ein Routing-Update eine Schleife erzeugt hat, die seit einer Konfig-Änderung vor 3 Tagen latent vorlag.' Monitoring ist schwellenwert-basiert und beantwortet vordefinierte Fragen. Observability korreliert Metriken, Logs, Events und Traces und ermöglicht die Erforschung unerwarteter Verhaltensmuster.</w:t>
      </w:r>
    </w:p>
    <w:p>
      <w:pPr>
        <w:spacing w:after="120" w:before="60"/>
      </w:pPr>
      <w:r>
        <w:rPr>
          <w:rFonts w:ascii="Arial" w:cs="Arial" w:eastAsia="Arial" w:hAnsi="Arial"/>
          <w:sz w:val="21"/>
          <w:szCs w:val="21"/>
        </w:rPr>
        <w:t xml:space="preserve">Die schwierigsten Vorfälle sind die, die Stack-Grenzen überschreiten: Ein Netzwerk-Team sieht Drops, ein Anwendungs-Team sieht Latenz, ein Security-Team sieht Policy-Blocks. Root-Cause-Analyse verbessert sich, wenn Telemetrie aus Netzwerk, Identität, Endpunkten, Cloud-Diensten und Sicherheitskontrollen gemeinsam analysiert werden kann – genau das Problem, das die Multi-Stack-Architektur (Kapitel 3) strukturell mit sich bringt, und genau der Grund, warum ServiceNow ESM/ITOM als Föderationsschicht eine Voraussetzung für echte Observability ist.</w:t>
      </w:r>
    </w:p>
    <w:p>
      <w:pPr>
        <w:pStyle w:val="Heading2"/>
      </w:pPr>
      <w:r>
        <w:t xml:space="preserve">V.2 Reifegrad-Einordnung der Architektur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819"/>
        <w:gridCol w:w="2891"/>
      </w:tblGrid>
      <w:tr>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Säule</w:t>
            </w:r>
          </w:p>
        </w:tc>
        <w:tc>
          <w:tcPr>
            <w:tcW w:type="dxa" w:w="481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Abdeckung im Konzept</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Reifegrad</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Metriken</w:t>
            </w:r>
          </w:p>
        </w:tc>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VictoriaMetrics, Telegraf, NNMi, Azure Monitor/CloudWatch</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Vollständig</w:t>
            </w:r>
          </w:p>
        </w:tc>
      </w:tr>
      <w:tr>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Logs</w:t>
            </w:r>
          </w:p>
        </w:tc>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Loki + OpenSearch (Dual-/Triple-Pipeline)</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Vollständig</w:t>
            </w:r>
          </w:p>
        </w:tc>
      </w:tr>
      <w:tr>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Traces</w:t>
            </w:r>
          </w:p>
        </w:tc>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Tempo (Stack 2), Istio/Kiali (Stack 3)</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Nur innerhalb einzelner Stacks</w:t>
            </w:r>
          </w:p>
        </w:tc>
      </w:tr>
      <w:tr>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Korrelation</w:t>
            </w:r>
          </w:p>
        </w:tc>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 ESM/ITOM (Schicht 6)</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Event-Ebene ja, Trace-Ebene nicht vorgesehen</w:t>
            </w:r>
          </w:p>
        </w:tc>
      </w:tr>
    </w:tbl>
    <w:p>
      <w:pPr>
        <w:spacing w:after="120" w:before="60"/>
      </w:pPr>
      <w:r>
        <w:rPr>
          <w:rFonts w:ascii="Arial" w:cs="Arial" w:eastAsia="Arial" w:hAnsi="Arial"/>
          <w:i/>
          <w:iCs/>
          <w:color w:val="595959"/>
          <w:sz w:val="21"/>
          <w:szCs w:val="21"/>
        </w:rPr>
        <w:t xml:space="preserve">Identifizierte Lücke: Ein Request von einem Notebook über das Netzwerk zu einem Kubernetes-Service und von dort zu einer Cloud-Datenbank hat aktuell keinen durchgängigen Trace. Empfehlung: OpenTelemetry als gemeinsamer Tracing-Standard über alle Stacks – CatchPoint unterstützt dies bereits nativ, Tempo ist OpenTelemetry-kompatibel. Dies ist ein Punkt für die Roadmap (Kapitel 8), keine sofortige Pflicht.</w:t>
      </w:r>
    </w:p>
    <w:p>
      <w:pPr>
        <w:pStyle w:val="Heading2"/>
      </w:pPr>
      <w:r>
        <w:t xml:space="preserve">V.3 Die drei Telemetrie-Ebenen des Netzwerks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855"/>
        <w:gridCol w:w="3373"/>
      </w:tblGrid>
      <w:tr>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Ebene</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Fokus</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Tool(s) im Konzept</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1 – Gerätezustand</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Ist das Gerät gesund? (SNMP-Polling)</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 SCOM, VMware-Tools, Kube-state-metrics</w:t>
            </w:r>
          </w:p>
        </w:tc>
      </w:tr>
      <w:tr>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 – Verkehrsfluss</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Was bewegt sich durchs Netzwerk? (NetFlow/IPFIX)</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w:t>
            </w:r>
          </w:p>
        </w:tc>
      </w:tr>
      <w:tr>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3 – Pfad-/Erfahrungsebene</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Wie erlebt der Nutzer die Performance?</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Automai, CatchPoint</w:t>
            </w:r>
          </w:p>
        </w:tc>
      </w:tr>
    </w:tbl>
    <w:p>
      <w:pPr>
        <w:spacing w:after="120" w:before="60"/>
      </w:pPr>
      <w:r>
        <w:rPr>
          <w:rFonts w:ascii="Arial" w:cs="Arial" w:eastAsia="Arial" w:hAnsi="Arial"/>
          <w:sz w:val="21"/>
          <w:szCs w:val="21"/>
        </w:rPr>
        <w:t xml:space="preserve">Moderne Observability-Plattformen nutzen Metadaten, Flow-Daten und Endpoint-Telemetrie statt Deep Packet Inspection, was Sicherheit und Compliance bewahrt. Das bestätigt die Entscheidung, Cisco SNA auf NetFlow-Metadaten statt Inhaltsanalyse zu stützen (Kapitel 4.3) – datenschutzfreundlicher und zugleich Observability-Industriestandard.</w:t>
      </w:r>
    </w:p>
    <w:p>
      <w:pPr>
        <w:spacing w:after="120" w:before="60"/>
      </w:pPr>
      <w:r>
        <w:rPr>
          <w:rFonts w:ascii="Arial" w:cs="Arial" w:eastAsia="Arial" w:hAnsi="Arial"/>
          <w:i/>
          <w:iCs/>
          <w:color w:val="595959"/>
          <w:sz w:val="21"/>
          <w:szCs w:val="21"/>
        </w:rPr>
        <w:t xml:space="preserve">In verteilten Systemen treten Symptome oft fernab der eigentlichen Ursache auf: ein Retry-Sturm erzeugt Paketverluste anderswo, eine Kubernetes-Policy-Änderung blockiert still eine Abhängigkeit, Latenzspitzen entstehen durch Netzwerk-Engpässe an anderer Stelle. Das ist das Kernargument, warum Cisco SNA (Flow-Ebene) NNMi (Geräte-Ebene) ergänzt statt ersetzt – beide sind komplementär.</w:t>
      </w:r>
    </w:p>
    <w:p>
      <w:pPr>
        <w:pStyle w:val="Heading2"/>
      </w:pPr>
      <w:r>
        <w:t xml:space="preserve">V.4 Konkrete Observability-Praktiken</w:t>
      </w:r>
    </w:p>
    <w:p>
      <w:pPr>
        <w:pStyle w:val="Heading3"/>
      </w:pPr>
      <w:r>
        <w:t xml:space="preserve">V.4.1 Von reaktivem Alerting zu prädiktiver Mustererkennung</w:t>
      </w:r>
    </w:p>
    <w:p>
      <w:pPr>
        <w:spacing w:after="120" w:before="60"/>
      </w:pPr>
      <w:r>
        <w:rPr>
          <w:rFonts w:ascii="Arial" w:cs="Arial" w:eastAsia="Arial" w:hAnsi="Arial"/>
          <w:sz w:val="21"/>
          <w:szCs w:val="21"/>
        </w:rPr>
        <w:t xml:space="preserve">Mit maschinellem Lernen können Observability-Plattformen Muster erkennen, die Ausfällen vorausgehen, und Teams alarmieren, bevor Nutzer betroffen sind. Relevant für: Cisco SNA (verhaltensbasierte Anomalieerkennung) und CatchPoint (KI-gestützte Engine zur Echtzeitkorrelation, Ursachenfindung und Ausfallvorhersage).</w:t>
      </w:r>
    </w:p>
    <w:p>
      <w:pPr>
        <w:pStyle w:val="Heading3"/>
      </w:pPr>
      <w:r>
        <w:t xml:space="preserve">V.4.2 Signal-Qualität statt Signal-Quantität</w:t>
      </w:r>
    </w:p>
    <w:p>
      <w:pPr>
        <w:spacing w:after="120" w:before="60"/>
      </w:pPr>
      <w:r>
        <w:rPr>
          <w:rFonts w:ascii="Arial" w:cs="Arial" w:eastAsia="Arial" w:hAnsi="Arial"/>
          <w:sz w:val="21"/>
          <w:szCs w:val="21"/>
        </w:rPr>
        <w:t xml:space="preserve">Die meisten NOC-Teams sind nicht überlastet, weil ihnen Einsatz fehlt – sie sind überlastet, weil ihnen Signalqualität fehlt. Wenn Monitoring vom breiteren operativen Kontext getrennt ist, sieht jeder Alarm gleich dringend aus.</w:t>
      </w:r>
    </w:p>
    <w:p>
      <w:pPr>
        <w:spacing w:after="120" w:before="60"/>
      </w:pPr>
      <w:r>
        <w:rPr>
          <w:rFonts w:ascii="Arial" w:cs="Arial" w:eastAsia="Arial" w:hAnsi="Arial"/>
          <w:i/>
          <w:iCs/>
          <w:color w:val="595959"/>
          <w:sz w:val="21"/>
          <w:szCs w:val="21"/>
        </w:rPr>
        <w:t xml:space="preserve">Direkter Bezug zu Kapitel 6.3.4 (Alert-Storm-Control): Die dort vorgesehene Korrelationsregel ist genau die hier beschriebene Observability-Praxis.</w:t>
      </w:r>
    </w:p>
    <w:p>
      <w:pPr>
        <w:pStyle w:val="Heading3"/>
      </w:pPr>
      <w:r>
        <w:t xml:space="preserve">V.4.3 Observability-Reifegrad-Modell als Steuerungsinstrument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4337"/>
        <w:gridCol w:w="3855"/>
      </w:tblGrid>
      <w:tr>
        <w:tc>
          <w:tcPr>
            <w:tcW w:type="dxa" w:w="1446"/>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Stufe</w:t>
            </w:r>
          </w:p>
        </w:tc>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Beschreibung</w:t>
            </w:r>
          </w:p>
        </w:tc>
        <w:tc>
          <w:tcPr>
            <w:tcW w:type="dxa" w:w="3855"/>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 im Konzept</w:t>
            </w:r>
          </w:p>
        </w:tc>
      </w:tr>
      <w:tr>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1 – Reaktiv</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Schwellenwert-Alerts, manuelle Analyse</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Durch Kapitel 3 abgedeckt</w:t>
            </w:r>
          </w:p>
        </w:tc>
      </w:tr>
      <w:tr>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 – Korreliert</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Cross-Tool-Korrelation (ServiceNow)</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Durch Kapitel 3.8/6.3.4 abgedeckt</w:t>
            </w:r>
          </w:p>
        </w:tc>
      </w:tr>
      <w:tr>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3 – Kontextualisiert</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CMDB-Anreicherung, Topologie-Kontext</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Durch ServiceNow CI-Verknüpfung abgedeckt</w:t>
            </w:r>
          </w:p>
        </w:tc>
      </w:tr>
      <w:tr>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4 – Prädiktiv</w:t>
            </w:r>
          </w:p>
        </w:tc>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ML-/KI-gestützte Anomalieerkennung</w:t>
            </w:r>
          </w:p>
        </w:tc>
        <w:tc>
          <w:tcPr>
            <w:tcW w:type="dxa" w:w="3855"/>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 CatchPoint vorhanden – Ausbau offen</w:t>
            </w:r>
          </w:p>
        </w:tc>
      </w:tr>
      <w:tr>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5 – Autonom</w:t>
            </w:r>
          </w:p>
        </w:tc>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Automatisierte Reaktion ohne Eingriff</w:t>
            </w:r>
          </w:p>
        </w:tc>
        <w:tc>
          <w:tcPr>
            <w:tcW w:type="dxa" w:w="3855"/>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Nicht Bestandteil dieses Konzepts (bewusste Grenze)</w:t>
            </w:r>
          </w:p>
        </w:tc>
      </w:tr>
    </w:tbl>
    <w:p>
      <w:pPr>
        <w:pStyle w:val="Heading2"/>
      </w:pPr>
      <w:r>
        <w:t xml:space="preserve">V.5 Zusammenfassende Einordnung</w:t>
      </w:r>
    </w:p>
    <w:p>
      <w:pPr>
        <w:pStyle w:val="ListParagraph"/>
        <w:numPr>
          <w:ilvl w:val="0"/>
          <w:numId w:val="3"/>
        </w:numPr>
        <w:spacing w:after="30" w:before="30"/>
      </w:pPr>
      <w:r>
        <w:rPr>
          <w:rFonts w:ascii="Arial" w:cs="Arial" w:eastAsia="Arial" w:hAnsi="Arial"/>
          <w:sz w:val="21"/>
          <w:szCs w:val="21"/>
        </w:rPr>
        <w:t xml:space="preserve">Die mehrschichtige Architektur (Erfassung → Sammlung → Speicherung → Korrelation) ist das technische Muster für Observability</w:t>
      </w:r>
    </w:p>
    <w:p>
      <w:pPr>
        <w:pStyle w:val="ListParagraph"/>
        <w:numPr>
          <w:ilvl w:val="0"/>
          <w:numId w:val="3"/>
        </w:numPr>
        <w:spacing w:after="30" w:before="30"/>
      </w:pPr>
      <w:r>
        <w:rPr>
          <w:rFonts w:ascii="Arial" w:cs="Arial" w:eastAsia="Arial" w:hAnsi="Arial"/>
          <w:sz w:val="21"/>
          <w:szCs w:val="21"/>
        </w:rPr>
        <w:t xml:space="preserve">Die Kombination aus Geräte-, Flow- und Pfad-Telemetrie deckt alle drei Beobachtungsebenen ab</w:t>
      </w:r>
    </w:p>
    <w:p>
      <w:pPr>
        <w:pStyle w:val="ListParagraph"/>
        <w:numPr>
          <w:ilvl w:val="0"/>
          <w:numId w:val="3"/>
        </w:numPr>
        <w:spacing w:after="30" w:before="30"/>
      </w:pPr>
      <w:r>
        <w:rPr>
          <w:rFonts w:ascii="Arial" w:cs="Arial" w:eastAsia="Arial" w:hAnsi="Arial"/>
          <w:sz w:val="21"/>
          <w:szCs w:val="21"/>
        </w:rPr>
        <w:t xml:space="preserve">Die einzige verbleibende Lücke ist stack-übergreifendes Tracing – eine bewusste Roadmap-Entscheidung, kein Versäumnis</w:t>
      </w:r>
    </w:p>
    <w:p>
      <w:pPr>
        <w:pStyle w:val="Heading1"/>
        <w:pageBreakBefore/>
      </w:pPr>
      <w:r>
        <w:t xml:space="preserve">Kapitel 8: Umsetzungsplan und Roadmap</w:t>
      </w:r>
    </w:p>
    <w:p>
      <w:pPr>
        <w:pStyle w:val="Heading2"/>
      </w:pPr>
      <w:r>
        <w:t xml:space="preserve">8.1 Grundprinzip: Risikobasierte Phasierung</w:t>
      </w:r>
    </w:p>
    <w:p>
      <w:pPr>
        <w:pBdr>
          <w:left w:val="single" w:color="2E5FA3" w:sz="18" w:space="8"/>
        </w:pBdr>
        <w:shd w:fill="D9E6F2" w:val="clear"/>
        <w:spacing w:after="160" w:before="160"/>
        <w:ind w:left="200" w:right="200"/>
      </w:pPr>
      <w:r>
        <w:rPr>
          <w:rFonts w:ascii="Arial" w:cs="Arial" w:eastAsia="Arial" w:hAnsi="Arial"/>
          <w:i/>
          <w:iCs/>
          <w:color w:val="1F3A5F"/>
          <w:sz w:val="21"/>
          <w:szCs w:val="21"/>
        </w:rPr>
        <w:t xml:space="preserve">Phase 0: Grundlagen schaffen (rechtlich, organisatorisch) → Phase 1: Kern-Infrastruktur-Monitoring (geringes Datenschutzrisiko) → Phase 2: Sicherheits-Domäne + Notebook-Monitoring (DSFA-pflichtig) → Phase 3: Cloud-Integration + Multi-Stack-Föderation → Phase 4: Observability-Reifegrad-Ausbau</w:t>
      </w:r>
    </w:p>
    <w:p>
      <w:pPr>
        <w:pStyle w:val="Heading2"/>
      </w:pPr>
      <w:r>
        <w:t xml:space="preserve">8.2 Phase 0: Grundlagen (Monate 1–3)</w:t>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4819"/>
        <w:gridCol w:w="2410"/>
        <w:gridCol w:w="2410"/>
      </w:tblGrid>
      <w:tr>
        <w:tc>
          <w:tcPr>
            <w:tcW w:type="dxa" w:w="481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Arbeitspaket</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Bezug</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Verantwortlich</w:t>
            </w:r>
          </w:p>
        </w:tc>
      </w:tr>
      <w:tr>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Datenschutz-Folgenabschätzung (DSFA) initiieren</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4.7</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Datenschutzbeauftragter</w:t>
            </w:r>
          </w:p>
        </w:tc>
      </w:tr>
      <w:tr>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Betriebsvereinbarung IT-Monitoring verhandeln</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4.4</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HR/Betriebsrat, CISO</w:t>
            </w:r>
          </w:p>
        </w:tc>
      </w:tr>
      <w:tr>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Risikoklassifikation finalisieren</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2.4</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Monitoring-Architekt</w:t>
            </w:r>
          </w:p>
        </w:tc>
      </w:tr>
      <w:tr>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Lieferanten-Nachweis-Register aufsetzen</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6.1.3</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Monitoring-Lieferantenmanager</w:t>
            </w:r>
          </w:p>
        </w:tc>
      </w:tr>
      <w:tr>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NIS2/KRITIS-Einstufung rechtsverbindlich klären</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1.2, 2.3</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Geschäftsführung/CISO</w:t>
            </w:r>
          </w:p>
        </w:tc>
      </w:tr>
      <w:tr>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Rollenmodell besetzen (Kernrollen)</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6.2</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IT-Leitung</w:t>
            </w:r>
          </w:p>
        </w:tc>
      </w:tr>
    </w:tbl>
    <w:p>
      <w:pPr>
        <w:spacing w:after="120" w:before="60"/>
      </w:pPr>
      <w:r>
        <w:rPr>
          <w:rFonts w:ascii="Arial" w:cs="Arial" w:eastAsia="Arial" w:hAnsi="Arial"/>
          <w:b/>
          <w:bCs/>
          <w:sz w:val="21"/>
          <w:szCs w:val="21"/>
        </w:rPr>
        <w:t xml:space="preserve">Meilenstein 0: Rechtliche und organisatorische Freigabe für Produktivbetrieb von Phase 1.</w:t>
      </w:r>
    </w:p>
    <w:p>
      <w:pPr>
        <w:pStyle w:val="Heading2"/>
      </w:pPr>
      <w:r>
        <w:t xml:space="preserve">8.3 Phase 1: Kern-Infrastruktur-Monitoring (Monate 3–8)</w:t>
      </w:r>
    </w:p>
    <w:p>
      <w:pPr>
        <w:spacing w:after="120" w:before="60"/>
      </w:pPr>
      <w:r>
        <w:rPr>
          <w:rFonts w:ascii="Arial" w:cs="Arial" w:eastAsia="Arial" w:hAnsi="Arial"/>
          <w:sz w:val="21"/>
          <w:szCs w:val="21"/>
        </w:rPr>
        <w:t xml:space="preserve">Fokus auf Klasse-0/1-Datenquellen – ohne Wartezeit auf die Betriebsvereinbarung umsetzbar.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1"/>
        <w:gridCol w:w="1446"/>
        <w:gridCol w:w="2891"/>
      </w:tblGrid>
      <w:tr>
        <w:tc>
          <w:tcPr>
            <w:tcW w:type="dxa" w:w="530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Arbeitspaket</w:t>
            </w:r>
          </w:p>
        </w:tc>
        <w:tc>
          <w:tcPr>
            <w:tcW w:type="dxa" w:w="1446"/>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Stack</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Abhängigkeit</w:t>
            </w:r>
          </w:p>
        </w:tc>
      </w:tr>
      <w:tr>
        <w:tc>
          <w:tcPr>
            <w:tcW w:type="dxa" w:w="530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NNMi-Discovery in Batches</w:t>
            </w:r>
          </w:p>
        </w:tc>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Phase 0 abgeschlossen</w:t>
            </w:r>
          </w:p>
        </w:tc>
      </w:tr>
      <w:tr>
        <w:tc>
          <w:tcPr>
            <w:tcW w:type="dxa" w:w="530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Alloy-Instanzen pro Standort aufsetzen</w:t>
            </w:r>
          </w:p>
        </w:tc>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NNMi-Discovery läuft</w:t>
            </w:r>
          </w:p>
        </w:tc>
      </w:tr>
      <w:tr>
        <w:tc>
          <w:tcPr>
            <w:tcW w:type="dxa" w:w="530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VictoriaMetrics-Cluster produktiv</w:t>
            </w:r>
          </w:p>
        </w:tc>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530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 auf Servern (nicht Notebooks) ausrollen</w:t>
            </w:r>
          </w:p>
        </w:tc>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530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SCOM-Management-Group-Hierarchie etablieren</w:t>
            </w:r>
          </w:p>
        </w:tc>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1</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530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Rancher-Monitoring je Cluster aktivieren</w:t>
            </w:r>
          </w:p>
        </w:tc>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3</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Kubernetes-Cluster vorhanden</w:t>
            </w:r>
          </w:p>
        </w:tc>
      </w:tr>
      <w:tr>
        <w:tc>
          <w:tcPr>
            <w:tcW w:type="dxa" w:w="530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Grafana-Basis-Dashboards (Verfügbarkeit/Performance)</w:t>
            </w:r>
          </w:p>
        </w:tc>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2/3</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Obige Punkte</w:t>
            </w:r>
          </w:p>
        </w:tc>
      </w:tr>
      <w:tr>
        <w:tc>
          <w:tcPr>
            <w:tcW w:type="dxa" w:w="530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Loki produktiv (Infrastruktur-Logs)</w:t>
            </w:r>
          </w:p>
        </w:tc>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530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OpenSearch-Infrastruktur-Cluster aufsetzen (Domäne G)</w:t>
            </w:r>
          </w:p>
        </w:tc>
        <w:tc>
          <w:tcPr>
            <w:tcW w:type="dxa" w:w="1446"/>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6</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Phase 0</w:t>
            </w:r>
          </w:p>
        </w:tc>
      </w:tr>
      <w:tr>
        <w:tc>
          <w:tcPr>
            <w:tcW w:type="dxa" w:w="530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 für S3/Kafka auf OpenSearch-Infrastruktur</w:t>
            </w:r>
          </w:p>
        </w:tc>
        <w:tc>
          <w:tcPr>
            <w:tcW w:type="dxa" w:w="1446"/>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6</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Cluster verfügbar</w:t>
            </w:r>
          </w:p>
        </w:tc>
      </w:tr>
    </w:tbl>
    <w:p>
      <w:pPr>
        <w:spacing w:after="120" w:before="60"/>
      </w:pPr>
      <w:r>
        <w:rPr>
          <w:rFonts w:ascii="Arial" w:cs="Arial" w:eastAsia="Arial" w:hAnsi="Arial"/>
          <w:i/>
          <w:iCs/>
          <w:color w:val="595959"/>
          <w:sz w:val="21"/>
          <w:szCs w:val="21"/>
        </w:rPr>
        <w:t xml:space="preserve">Bewusst ausgeklammert: Cisco SNA auf Notebook-Traffic, Telegraf auf Notebooks, Azure AD/Entra ID Sign-In-Logs, OpenSearch-Security – alle mitbestimmungspflichtig, warten auf Phase 2.</w:t>
      </w:r>
    </w:p>
    <w:p>
      <w:pPr>
        <w:spacing w:after="120" w:before="60"/>
      </w:pPr>
      <w:r>
        <w:rPr>
          <w:rFonts w:ascii="Arial" w:cs="Arial" w:eastAsia="Arial" w:hAnsi="Arial"/>
          <w:b/>
          <w:bCs/>
          <w:sz w:val="21"/>
          <w:szCs w:val="21"/>
        </w:rPr>
        <w:t xml:space="preserve">Meilenstein 1: Verfügbarkeits- und Performance-Monitoring für Server- und Netzwerkinfrastruktur produktiv, NIS2-Basis-Detektion erfüllt.</w:t>
      </w:r>
    </w:p>
    <w:p>
      <w:pPr>
        <w:pStyle w:val="Heading2"/>
      </w:pPr>
      <w:r>
        <w:t xml:space="preserve">8.4 Phase 2: Sicherheits-Domäne und Notebook-Monitoring (Monate 6–14)</w:t>
      </w:r>
    </w:p>
    <w:p>
      <w:pPr>
        <w:spacing w:after="120" w:before="60"/>
      </w:pPr>
      <w:r>
        <w:rPr>
          <w:rFonts w:ascii="Arial" w:cs="Arial" w:eastAsia="Arial" w:hAnsi="Arial"/>
          <w:sz w:val="21"/>
          <w:szCs w:val="21"/>
        </w:rPr>
        <w:t xml:space="preserve">Start an harte Bedingung gekoppelt: Betriebsvereinbarung muss unterschrieben sein, bevor Cisco SNA oder Telegraf auf Notebook-Daten produktiv geschaltet werden.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2891"/>
        <w:gridCol w:w="2410"/>
      </w:tblGrid>
      <w:tr>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Arbeitspaket</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Bezug</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Vorbedingung</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 Flow Collector-Cluster aufsetzen</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3.5, 7.2.1</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Betriebsvereinbarung unterschrieben</w:t>
            </w:r>
          </w:p>
        </w:tc>
      </w:tr>
      <w:tr>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Pseudonymisierungs-Mapping (device_id)</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4.3</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DSFA abgeschlossen</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OpenSearch-Security-Cluster + Filebeat</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3.14</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Betriebsvereinbarung</w:t>
            </w:r>
          </w:p>
        </w:tc>
      </w:tr>
      <w:tr>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Security Incident Responder-Rolle besetzen</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4.8, 6.2.2</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Karma als zentrale Alert-Aggregation</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3.10</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2 + 3 produktiv</w:t>
            </w:r>
          </w:p>
        </w:tc>
      </w:tr>
      <w:tr>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NIS2-Meldeprozess Ende-zu-Ende testen</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6.3.3</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Cisco SNA produktiv</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Telegraf auf Notebook-Pilotgruppe (1.000 Geräte)</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4.4</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Betriebsvereinbarung</w:t>
            </w:r>
          </w:p>
        </w:tc>
      </w:tr>
      <w:tr>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Stufenweiser Rollout auf alle 200.000 Notebooks</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7.1.1</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Pilot erfolgreich</w:t>
            </w:r>
          </w:p>
        </w:tc>
      </w:tr>
    </w:tbl>
    <w:p>
      <w:pPr>
        <w:spacing w:after="120" w:before="60"/>
      </w:pPr>
      <w:r>
        <w:rPr>
          <w:rFonts w:ascii="Arial" w:cs="Arial" w:eastAsia="Arial" w:hAnsi="Arial"/>
          <w:b/>
          <w:bCs/>
          <w:sz w:val="21"/>
          <w:szCs w:val="21"/>
        </w:rPr>
        <w:t xml:space="preserve">Meilenstein 2: NIS2-Meldefähigkeit nachweislich funktionsfähig, Notebook-Monitoring datenschutzkonform produktiv.</w:t>
      </w:r>
    </w:p>
    <w:p>
      <w:pPr>
        <w:pStyle w:val="Heading2"/>
      </w:pPr>
      <w:r>
        <w:t xml:space="preserve">8.5 Phase 3: Cloud-Integration und Föderation (Monate 10–16)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891"/>
        <w:gridCol w:w="1928"/>
      </w:tblGrid>
      <w:tr>
        <w:tc>
          <w:tcPr>
            <w:tcW w:type="dxa" w:w="4819"/>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Arbeitspaket</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Bezug</w:t>
            </w:r>
          </w:p>
        </w:tc>
        <w:tc>
          <w:tcPr>
            <w:tcW w:type="dxa" w:w="1928"/>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Abhängigkeit</w:t>
            </w:r>
          </w:p>
        </w:tc>
      </w:tr>
      <w:tr>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Azure Monitor/CloudWatch Basis-Konfiguration (EU-Region)</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4.10</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Lieferanten-Nachweise Azure/AWS prüfen</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6.1</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Phase 0</w:t>
            </w:r>
          </w:p>
        </w:tc>
      </w:tr>
      <w:tr>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Hybrid-Konnektivitäts-Monitoring</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3.12</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 2 + 5 vorhanden</w:t>
            </w:r>
          </w:p>
        </w:tc>
      </w:tr>
      <w:tr>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Cloud-Identity-Anbindung (nur falls Betriebsvereinbarung dies einschließt)</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4.9</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Betriebsvereinbarung-Erweiterung</w:t>
            </w:r>
          </w:p>
        </w:tc>
      </w:tr>
      <w:tr>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 ESM/ITOM-Konnektoren für alle Stacks finalisieren</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3.8</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Alle Stacks einzeln produktiv</w:t>
            </w:r>
          </w:p>
        </w:tc>
      </w:tr>
      <w:tr>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Alert-Storm-Control-Regeln in ServiceNow</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6.3.4</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ServiceNow-Föderation aktiv</w:t>
            </w:r>
          </w:p>
        </w:tc>
      </w:tr>
      <w:tr>
        <w:tc>
          <w:tcPr>
            <w:tcW w:type="dxa" w:w="4819"/>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Automai-Szenarien für interne Kernanwendungen</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3.11</w:t>
            </w:r>
          </w:p>
        </w:tc>
        <w:tc>
          <w:tcPr>
            <w:tcW w:type="dxa" w:w="1928"/>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r>
      <w:tr>
        <w:tc>
          <w:tcPr>
            <w:tcW w:type="dxa" w:w="4819"/>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CatchPoint für externe Online-Services</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3.11</w:t>
            </w:r>
          </w:p>
        </w:tc>
        <w:tc>
          <w:tcPr>
            <w:tcW w:type="dxa" w:w="1928"/>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w:t>
            </w:r>
          </w:p>
        </w:tc>
      </w:tr>
    </w:tbl>
    <w:p>
      <w:pPr>
        <w:spacing w:after="120" w:before="60"/>
      </w:pPr>
      <w:r>
        <w:rPr>
          <w:rFonts w:ascii="Arial" w:cs="Arial" w:eastAsia="Arial" w:hAnsi="Arial"/>
          <w:b/>
          <w:bCs/>
          <w:sz w:val="21"/>
          <w:szCs w:val="21"/>
        </w:rPr>
        <w:t xml:space="preserve">Meilenstein 3: Alle 6 Stacks produktiv und über ServiceNow ESM/ITOM föderiert.</w:t>
      </w:r>
    </w:p>
    <w:p>
      <w:pPr>
        <w:pStyle w:val="Heading2"/>
      </w:pPr>
      <w:r>
        <w:t xml:space="preserve">8.6 Phase 4: Observability-Reifegrad-Ausbau (ab Monat 14, fortlaufend)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7"/>
        <w:gridCol w:w="2891"/>
      </w:tblGrid>
      <w:tr>
        <w:tc>
          <w:tcPr>
            <w:tcW w:type="dxa" w:w="674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Arbeitspaket</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Bezug</w:t>
            </w:r>
          </w:p>
        </w:tc>
      </w:tr>
      <w:tr>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OpenTelemetry als gemeinsamer Tracing-Standard über Stacks 2–5</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Vertiefung V.2</w:t>
            </w:r>
          </w:p>
        </w:tc>
      </w:tr>
      <w:tr>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Tempo/Kiali-Traces in ServiceNow-Korrelation einbinden</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Vertiefung V.2</w:t>
            </w:r>
          </w:p>
        </w:tc>
      </w:tr>
      <w:tr>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Ausbau ML-/KI-Anomalieerkennung über Stack 1/3 hinaus</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Vertiefung V.4.1</w:t>
            </w:r>
          </w:p>
        </w:tc>
      </w:tr>
      <w:tr>
        <w:tc>
          <w:tcPr>
            <w:tcW w:type="dxa" w:w="674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Recording Rules zur Grafana-Performance-Optimierung</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7.2.4</w:t>
            </w:r>
          </w:p>
        </w:tc>
      </w:tr>
      <w:tr>
        <w:tc>
          <w:tcPr>
            <w:tcW w:type="dxa" w:w="674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Jährliche Kapazitäts- und Cardinality-Audits etablieren</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Kapitel 7.5</w:t>
            </w:r>
          </w:p>
        </w:tc>
      </w:tr>
    </w:tbl>
    <w:p>
      <w:pPr>
        <w:spacing w:after="120" w:before="60"/>
      </w:pPr>
      <w:r>
        <w:rPr>
          <w:rFonts w:ascii="Arial" w:cs="Arial" w:eastAsia="Arial" w:hAnsi="Arial"/>
          <w:i/>
          <w:iCs/>
          <w:color w:val="595959"/>
          <w:sz w:val="21"/>
          <w:szCs w:val="21"/>
        </w:rPr>
        <w:t xml:space="preserve">Kein klassischer Meilenstein – stattdessen jährliche Reifegrad-Bewertung (vgl. V.4.3) als wiederkehrender Soll-Ist-Abgleich.</w:t>
      </w:r>
    </w:p>
    <w:p>
      <w:pPr>
        <w:pStyle w:val="Heading2"/>
      </w:pPr>
      <w:r>
        <w:t xml:space="preserve">8.7 Kritische Erfolgsfaktoren und Risiken</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2891"/>
        <w:gridCol w:w="3373"/>
        <w:gridCol w:w="3373"/>
      </w:tblGrid>
      <w:tr>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Risiko</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Auswirkung</w:t>
            </w:r>
          </w:p>
        </w:tc>
        <w:tc>
          <w:tcPr>
            <w:tcW w:type="dxa" w:w="3373"/>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Gegenmaßnahme</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Betriebsvereinbarung verzögert sich</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Phase 2 blockiert, NIS2-Meldefähigkeit verzögert</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Früher Start der Verhandlung in Phase 0</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DSFA wird negativ bewertet</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Architekturänderung an Cisco SNA/Pseudonymisierung nötig</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DSFA früh mit DSB abstimmen</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Cardinality-Explosion bei vollem Notebook-Rollout</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VictoriaMetrics-Performance-Probleme</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Pilotgruppe nutzen, um Cardinality real zu messen</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EU-US DPF wird gerichtlich gekippt</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Cloud-Datentransfer-Rechtsgrundlage entfällt kurzfristig</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SCC parallel vorhalten, nicht nur DPF</w:t>
            </w:r>
          </w:p>
        </w:tc>
      </w:tr>
      <w:tr>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CatchPoint/LogicMonitor Post-Merger-Änderungen</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Tool-Funktionsumfang/Lizenzmodell ändert sich</w:t>
            </w:r>
          </w:p>
        </w:tc>
        <w:tc>
          <w:tcPr>
            <w:tcW w:type="dxa" w:w="3373"/>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Kurze Vertragsbindung, laufende Beobachtung (6.1)</w:t>
            </w:r>
          </w:p>
        </w:tc>
      </w:tr>
      <w:tr>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Mehrere Stacks überfordern Teams</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Mehraufwand Betrieb</w:t>
            </w:r>
          </w:p>
        </w:tc>
        <w:tc>
          <w:tcPr>
            <w:tcW w:type="dxa" w:w="3373"/>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Rollenmodell vor Produktivbetrieb vollständig besetzen</w:t>
            </w:r>
          </w:p>
        </w:tc>
      </w:tr>
    </w:tbl>
    <w:p>
      <w:pPr>
        <w:pStyle w:val="Heading2"/>
      </w:pPr>
      <w:r>
        <w:t xml:space="preserve">8.8 Erfolgsmessung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7"/>
        <w:gridCol w:w="2891"/>
        <w:gridCol w:w="2410"/>
      </w:tblGrid>
      <w:tr>
        <w:tc>
          <w:tcPr>
            <w:tcW w:type="dxa" w:w="4337"/>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KPI</w:t>
            </w:r>
          </w:p>
        </w:tc>
        <w:tc>
          <w:tcPr>
            <w:tcW w:type="dxa" w:w="2891"/>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Zielwert</w:t>
            </w:r>
          </w:p>
        </w:tc>
        <w:tc>
          <w:tcPr>
            <w:tcW w:type="dxa" w:w="2410"/>
            <w:tcBorders>
              <w:top w:val="single" w:color="2E5FA3" w:sz="2"/>
              <w:left w:val="single" w:color="2E5FA3" w:sz="2"/>
              <w:bottom w:val="single" w:color="2E5FA3" w:sz="2"/>
              <w:right w:val="single" w:color="2E5FA3" w:sz="2"/>
            </w:tcBorders>
            <w:shd w:fill="1F3A5F" w:val="clear"/>
            <w:tcMar>
              <w:top w:type="dxa" w:w="80"/>
              <w:left w:type="dxa" w:w="120"/>
              <w:bottom w:type="dxa" w:w="80"/>
              <w:right w:type="dxa" w:w="120"/>
            </w:tcMar>
            <w:vAlign w:val="center"/>
          </w:tcPr>
          <w:p>
            <w:r>
              <w:rPr>
                <w:rFonts w:ascii="Arial" w:cs="Arial" w:eastAsia="Arial" w:hAnsi="Arial"/>
                <w:b/>
                <w:bCs/>
                <w:color w:val="FFFFFF"/>
                <w:sz w:val="19"/>
                <w:szCs w:val="19"/>
              </w:rPr>
              <w:t xml:space="preserve">Prüfzeitpunkt</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NIS2-Meldefrist eingehalten (24h/72h) bei Testläufen</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100 %</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Ende Phase 2</w:t>
            </w:r>
          </w:p>
        </w:tc>
      </w:tr>
      <w:tr>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Notebook-Rollout-Abdeckung</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200.000 Geräte</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Ende Phase 2</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Stack-Föderation in ServiceNow ESM/ITOM</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6/6 Stacks</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Ende Phase 3</w:t>
            </w:r>
          </w:p>
        </w:tc>
      </w:tr>
      <w:tr>
        <w:tc>
          <w:tcPr>
            <w:tcW w:type="dxa" w:w="4337"/>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Observability-Reifegrad</w:t>
            </w:r>
          </w:p>
        </w:tc>
        <w:tc>
          <w:tcPr>
            <w:tcW w:type="dxa" w:w="2891"/>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Stufe 3 erreicht (Stufe 4 = Phase-4-Ziel)</w:t>
            </w:r>
          </w:p>
        </w:tc>
        <w:tc>
          <w:tcPr>
            <w:tcW w:type="dxa" w:w="2410"/>
            <w:tcBorders>
              <w:top w:val="single" w:color="BFBFBF" w:sz="2"/>
              <w:left w:val="single" w:color="BFBFBF" w:sz="2"/>
              <w:bottom w:val="single" w:color="BFBFBF" w:sz="2"/>
              <w:right w:val="single" w:color="BFBFBF" w:sz="2"/>
            </w:tcBorders>
            <w:shd w:fill="F2F2F2"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Ende Phase 3</w:t>
            </w:r>
          </w:p>
        </w:tc>
      </w:tr>
      <w:tr>
        <w:tc>
          <w:tcPr>
            <w:tcW w:type="dxa" w:w="4337"/>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Cardinality innerhalb Kapazitätsgrenzen</w:t>
            </w:r>
          </w:p>
        </w:tc>
        <w:tc>
          <w:tcPr>
            <w:tcW w:type="dxa" w:w="2891"/>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Keine VictoriaMetrics-Degradation</w:t>
            </w:r>
          </w:p>
        </w:tc>
        <w:tc>
          <w:tcPr>
            <w:tcW w:type="dxa" w:w="2410"/>
            <w:tcBorders>
              <w:top w:val="single" w:color="BFBFBF" w:sz="2"/>
              <w:left w:val="single" w:color="BFBFBF" w:sz="2"/>
              <w:bottom w:val="single" w:color="BFBFBF" w:sz="2"/>
              <w:right w:val="single" w:color="BFBFBF" w:sz="2"/>
            </w:tcBorders>
            <w:shd w:fill="FFFFFF" w:val="clear"/>
            <w:tcMar>
              <w:top w:type="dxa" w:w="70"/>
              <w:left w:type="dxa" w:w="120"/>
              <w:bottom w:type="dxa" w:w="70"/>
              <w:right w:type="dxa" w:w="120"/>
            </w:tcMar>
            <w:vAlign w:val="center"/>
          </w:tcPr>
          <w:p>
            <w:pPr>
              <w:jc w:val="left"/>
            </w:pPr>
            <w:r>
              <w:rPr>
                <w:rFonts w:ascii="Arial" w:cs="Arial" w:eastAsia="Arial" w:hAnsi="Arial"/>
                <w:b w:val="false"/>
                <w:bCs w:val="false"/>
                <w:color w:val="000000"/>
                <w:sz w:val="19"/>
                <w:szCs w:val="19"/>
              </w:rPr>
              <w:t xml:space="preserve">Laufend ab Phase 2</w:t>
            </w:r>
          </w:p>
        </w:tc>
      </w:tr>
    </w:tbl>
    <w:sectPr>
      <w:headerReference w:type="default" r:id="rId9"/>
      <w:footerReference w:type="default" r:id="rId10"/>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95959"/>
        <w:sz w:val="16"/>
        <w:szCs w:val="16"/>
      </w:rPr>
      <w:t xml:space="preserve">Seite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von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638"/>
      </w:tabs>
    </w:pPr>
    <w:r>
      <w:rPr>
        <w:rFonts w:ascii="Arial" w:cs="Arial" w:eastAsia="Arial" w:hAnsi="Arial"/>
        <w:color w:val="595959"/>
        <w:sz w:val="16"/>
        <w:szCs w:val="16"/>
      </w:rPr>
      <w:t xml:space="preserve">Monitoring-Konzept Netzwerk &amp; Kommunikation</w:t>
    </w:r>
    <w:r>
      <w:rPr>
        <w:rFonts w:ascii="Arial" w:cs="Arial" w:eastAsia="Arial" w:hAnsi="Arial"/>
        <w:color w:val="595959"/>
        <w:sz w:val="16"/>
        <w:szCs w:val="16"/>
      </w:rPr>
      <w:t xml:space="preserve">	Arbeitsversion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A3" w:sz="6" w:space="4"/>
      </w:pBdr>
      <w:spacing w:after="240" w:before="0"/>
      <w:outlineLvl w:val="0"/>
    </w:pPr>
    <w:rPr>
      <w:rFonts w:ascii="Arial" w:cs="Arial" w:eastAsia="Arial" w:hAnsi="Arial"/>
      <w:b/>
      <w:bCs/>
      <w:color w:val="1F3A5F"/>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5FA3"/>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2026-06-19T12:42:03.033Z</dcterms:created>
  <dcterms:modified xsi:type="dcterms:W3CDTF">2026-06-19T12:42:03.033Z</dcterms:modified>
</cp:coreProperties>
</file>

<file path=docProps/custom.xml><?xml version="1.0" encoding="utf-8"?>
<Properties xmlns="http://schemas.openxmlformats.org/officeDocument/2006/custom-properties" xmlns:vt="http://schemas.openxmlformats.org/officeDocument/2006/docPropsVTypes"/>
</file>