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Observaciones sobre</w:t>
        <w:br/>
        <w:t>SPGECO_TR_Lista_Productos</w:t>
      </w:r>
    </w:p>
    <w:p>
      <w:pPr>
        <w:spacing w:after="240"/>
      </w:pPr>
      <w:r>
        <w:rPr>
          <w:color w:val="5A6575"/>
          <w:sz w:val="24"/>
        </w:rPr>
        <w:t>Contrato de salida, estados parciales y consultas para el DBA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5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Módulo</w:t>
            </w:r>
          </w:p>
        </w:tc>
        <w:tc>
          <w:tcPr>
            <w:tcW w:type="dxa" w:w="5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Pocket / Transferencias entre sucursales (TR)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Alcance</w:t>
            </w:r>
          </w:p>
        </w:tc>
        <w:tc>
          <w:tcPr>
            <w:tcW w:type="dxa" w:w="5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Análisis del modelo de datos actualizado y su consumo en la aplicación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Fecha</w:t>
            </w:r>
          </w:p>
        </w:tc>
        <w:tc>
          <w:tcPr>
            <w:tcW w:type="dxa" w:w="5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5 de septiembre de 2026</w:t>
            </w:r>
          </w:p>
        </w:tc>
      </w:tr>
    </w:tbl>
    <w:p>
      <w:pPr>
        <w:pStyle w:val="Heading1"/>
        <w:keepNext/>
        <w:spacing w:before="200" w:after="80"/>
      </w:pPr>
      <w:r>
        <w:t>1. Objetivo</w:t>
      </w:r>
    </w:p>
    <w:p>
      <w:r>
        <w:t>Alinear con el DBA el significado efectivo de la salida del procedimiento, en especial los estados parciales, la visibilidad de productos reemplazados y las cantidades colectadas por usuario, BOX y producto. Pocket se adapta al contrato recibido; este documento no propone modificar directamente los procedimientos almacenados administrados por el DBA.</w:t>
      </w:r>
    </w:p>
    <w:p>
      <w:pPr>
        <w:spacing w:before="80" w:after="100"/>
        <w:ind w:left="198" w:right="198"/>
      </w:pPr>
      <w:r>
        <w:rPr>
          <w:b/>
          <w:color w:val="2F5597"/>
        </w:rPr>
        <w:t xml:space="preserve">Conclusión ejecutiva: </w:t>
      </w:r>
      <w:r>
        <w:t>el nuevo modelo aporta el contexto necesario para mostrar el avance al usuario, pero contiene reglas duplicadas y códigos sin una asignación inequívoca. Es necesario confirmar esas reglas antes de certificar el comportamiento final.</w:t>
      </w:r>
    </w:p>
    <w:p>
      <w:pPr>
        <w:pStyle w:val="Heading1"/>
        <w:keepNext/>
        <w:spacing w:before="200" w:after="80"/>
      </w:pPr>
      <w:r>
        <w:t>2. Secuencia observada en el procedimiento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843"/>
            <w:shd w:fill="D9EAF7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2F5597"/>
                <w:sz w:val="26"/>
              </w:rPr>
              <w:t>1</w:t>
            </w:r>
          </w:p>
          <w:p>
            <w:pPr>
              <w:jc w:val="center"/>
            </w:pPr>
            <w:r>
              <w:rPr>
                <w:b/>
                <w:sz w:val="18"/>
              </w:rPr>
              <w:t>Base</w:t>
            </w:r>
          </w:p>
          <w:p>
            <w:pPr>
              <w:jc w:val="center"/>
            </w:pPr>
            <w:r>
              <w:rPr>
                <w:sz w:val="15"/>
              </w:rPr>
              <w:t>Lee los renglones de ti_d.</w:t>
            </w:r>
          </w:p>
        </w:tc>
        <w:tc>
          <w:tcPr>
            <w:tcW w:type="dxa" w:w="1843"/>
            <w:shd w:fill="F2F2F2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2F5597"/>
                <w:sz w:val="26"/>
              </w:rPr>
              <w:t>2</w:t>
            </w:r>
          </w:p>
          <w:p>
            <w:pPr>
              <w:jc w:val="center"/>
            </w:pPr>
            <w:r>
              <w:rPr>
                <w:b/>
                <w:sz w:val="18"/>
              </w:rPr>
              <w:t>Conteos</w:t>
            </w:r>
          </w:p>
          <w:p>
            <w:pPr>
              <w:jc w:val="center"/>
            </w:pPr>
            <w:r>
              <w:rPr>
                <w:sz w:val="15"/>
              </w:rPr>
              <w:t>Calcula colecciones propias, ajenas y totales.</w:t>
            </w:r>
          </w:p>
        </w:tc>
        <w:tc>
          <w:tcPr>
            <w:tcW w:type="dxa" w:w="1843"/>
            <w:shd w:fill="D9EAF7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2F5597"/>
                <w:sz w:val="26"/>
              </w:rPr>
              <w:t>3</w:t>
            </w:r>
          </w:p>
          <w:p>
            <w:pPr>
              <w:jc w:val="center"/>
            </w:pPr>
            <w:r>
              <w:rPr>
                <w:b/>
                <w:sz w:val="18"/>
              </w:rPr>
              <w:t>Estado</w:t>
            </w:r>
          </w:p>
          <w:p>
            <w:pPr>
              <w:jc w:val="center"/>
            </w:pPr>
            <w:r>
              <w:rPr>
                <w:sz w:val="15"/>
              </w:rPr>
              <w:t>Asigna resultado y resultado_msj.</w:t>
            </w:r>
          </w:p>
        </w:tc>
        <w:tc>
          <w:tcPr>
            <w:tcW w:type="dxa" w:w="1843"/>
            <w:shd w:fill="F2F2F2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2F5597"/>
                <w:sz w:val="26"/>
              </w:rPr>
              <w:t>4</w:t>
            </w:r>
          </w:p>
          <w:p>
            <w:pPr>
              <w:jc w:val="center"/>
            </w:pPr>
            <w:r>
              <w:rPr>
                <w:b/>
                <w:sz w:val="18"/>
              </w:rPr>
              <w:t>Control</w:t>
            </w:r>
          </w:p>
          <w:p>
            <w:pPr>
              <w:jc w:val="center"/>
            </w:pPr>
            <w:r>
              <w:rPr>
                <w:sz w:val="15"/>
              </w:rPr>
              <w:t>Compara contra el total solicitado.</w:t>
            </w:r>
          </w:p>
        </w:tc>
        <w:tc>
          <w:tcPr>
            <w:tcW w:type="dxa" w:w="1843"/>
            <w:shd w:fill="D9EAF7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2F5597"/>
                <w:sz w:val="26"/>
              </w:rPr>
              <w:t>5</w:t>
            </w:r>
          </w:p>
          <w:p>
            <w:pPr>
              <w:jc w:val="center"/>
            </w:pPr>
            <w:r>
              <w:rPr>
                <w:b/>
                <w:sz w:val="18"/>
              </w:rPr>
              <w:t>Salida</w:t>
            </w:r>
          </w:p>
          <w:p>
            <w:pPr>
              <w:jc w:val="center"/>
            </w:pPr>
            <w:r>
              <w:rPr>
                <w:sz w:val="15"/>
              </w:rPr>
              <w:t>Filtra y devuelve productos visibles.</w:t>
            </w:r>
          </w:p>
        </w:tc>
      </w:tr>
    </w:tbl>
    <w:p>
      <w:pPr>
        <w:pStyle w:val="Heading1"/>
        <w:keepNext/>
        <w:spacing w:before="200" w:after="80"/>
      </w:pPr>
      <w:r>
        <w:t>3. Datos que Pocket necesita interpretar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7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Campos relevantes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Identidad</w:t>
            </w:r>
          </w:p>
        </w:tc>
        <w:tc>
          <w:tcPr>
            <w:tcW w:type="dxa" w:w="7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ti, item, p_id, p_desc, rub_id, box/depo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Unidad y pedido</w:t>
            </w:r>
          </w:p>
        </w:tc>
        <w:tc>
          <w:tcPr>
            <w:tcW w:type="dxa" w:w="7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up_id, unidad_pres, pedido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Reemplazo</w:t>
            </w:r>
          </w:p>
        </w:tc>
        <w:tc>
          <w:tcPr>
            <w:tcW w:type="dxa" w:w="7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remplazo, remplazo_box, remplazo_p_id, remplazo_usu_id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Colección</w:t>
            </w:r>
          </w:p>
        </w:tc>
        <w:tc>
          <w:tcPr>
            <w:tcW w:type="dxa" w:w="7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colectado, bulto, us, colectado_otros, colectado_x_box, colectado_x_p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Estado</w:t>
            </w:r>
          </w:p>
        </w:tc>
        <w:tc>
          <w:tcPr>
            <w:tcW w:type="dxa" w:w="7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resultado, resultado_msj</w:t>
            </w:r>
          </w:p>
        </w:tc>
      </w:tr>
    </w:tbl>
    <w:p>
      <w:pPr>
        <w:spacing w:before="80" w:after="100"/>
        <w:ind w:left="198" w:right="198"/>
      </w:pPr>
      <w:r>
        <w:rPr>
          <w:b/>
          <w:color w:val="2F5597"/>
        </w:rPr>
        <w:t xml:space="preserve">Criterio temporal en Pocket: </w:t>
      </w:r>
      <w:r>
        <w:t>hasta que se confirme la fórmula de colectado_x_box, la grilla presenta el total del BOX como colectado + colectado_otros y conserva también el total del producto en la transferencia.</w:t>
      </w:r>
    </w:p>
    <w:p>
      <w:r>
        <w:br w:type="page"/>
      </w:r>
    </w:p>
    <w:p>
      <w:pPr>
        <w:pStyle w:val="Heading1"/>
        <w:keepNext/>
        <w:spacing w:before="200" w:after="80"/>
      </w:pPr>
      <w:r>
        <w:t>4. Observaciones que requieren confirmación del DBA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  <w:cantSplit/>
        </w:trPr>
        <w:tc>
          <w:tcPr>
            <w:tcW w:type="dxa" w:w="3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#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Tema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Evidencia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Impacto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Consulta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colectado_otros y colectado_x_box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Ambos campos se calculan con la misma consulta y el mismo filtro usu_id &lt;&gt; @usu_id.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No se distingue colección ajena de colección total del BOX.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¿colectado_x_box debe incluir al usuario actual y sumar toda la colección del BOX?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Estados 00 y 01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Las dos actualizaciones utilizan exactamente la misma condición.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La segunda asignación puede sobrescribir siempre el estado 00 con 01.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Definir condiciones excluyentes: completado por usuario actual frente a completado por otros.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Estado 02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Figura en la descripción de estados, pero no se observa una asignación activa.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Pocket podría no recibir nunca ese estado.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Confirmar si 02 continúa vigente y cuál es su condición exacta.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Estados 03 y 04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El comentario documenta 03 como reemplazo; el código separa 03 sin colección de reemplazo y 04 con ella.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La semántica del mensaje mostrado puede resultar ambigua.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Formalizar ambos códigos y aclarar cuándo el reemplazo está iniciado o efectivamente colectado.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Estados E0 y E1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Se describen en comentarios, pero no se observa asignación activa; existe un bloque comentado incompleto.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No habría una señal confiable para distinguir colección compartida o realizada por terceros.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Confirmar reglas y prioridad de E0/E1 respecto de 00, 01, 10, 11, 20 y 21.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Compatibilidad con Carrito_Carga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La carga puede reducir a cero la cantidad pendiente del producto original reemplazado.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El control global podría omitir un original totalmente reemplazado, según cómo se construye #ctl_tot.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Validar casos de reemplazo total y parcial, mismo producto en otro BOX y producto diferente.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Parámetro @adm_id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Está declarado, pero no se observa uso en la lógica activa.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Puede ser parte de una regla pendiente o un parámetro heredado.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Confirmar si debe intervenir en visibilidad/estado o si se mantiene sólo por compatibilidad.</w:t>
            </w:r>
          </w:p>
        </w:tc>
      </w:tr>
    </w:tbl>
    <w:p>
      <w:pPr>
        <w:pStyle w:val="Heading1"/>
        <w:keepNext/>
        <w:spacing w:before="200" w:after="80"/>
      </w:pPr>
      <w:r>
        <w:t>5. Matriz de estados para validar</w:t>
      </w:r>
    </w:p>
    <w:p>
      <w:r>
        <w:t>La siguiente interpretación se utiliza como criterio provisional de presentación en Pocket. Debe ser confirmada contra la implementación definitiva del procedimiento.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Interpretación provisional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¿Permitir carga?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PE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Pendiente sin colección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Sí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Flujo normal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E0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Colección compartida en este BOX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Sí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Requiere definición del SP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E1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Colección realizada por otros usuarios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Bloqueo preventivo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00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Pedido completado por el usuario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Sí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Revisar solapamiento con 01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01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Pedido completado por otros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Sí, con aviso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Revisar solapamiento con 00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02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Producto completado en la transferencia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Sí, con aviso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No se observa asignación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03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Producto con contexto de reemplazo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Sí, con aviso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Semántica a confirmar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04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Producto completado con reemplazo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Sí, con aviso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No está documentado en comentarios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40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Producto cargado como reemplazo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Sólo usuario creador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Evitar nuevo reemplazo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10 / 11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Colección incompleta propia / ajena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Sí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Mostrar avance parcial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Exceso del usuario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Sí, con aviso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Situación crítica visible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21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Exceso de otros usuarios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Bloqueo preventivo</w:t>
            </w:r>
          </w:p>
        </w:tc>
      </w:tr>
    </w:tbl>
    <w:p>
      <w:pPr>
        <w:pStyle w:val="Heading1"/>
        <w:keepNext/>
        <w:spacing w:before="200" w:after="80"/>
      </w:pPr>
      <w:r>
        <w:t>6. Casos mínimos de certificación conjunta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Resultado a verificar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Sin colección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PE y pedido íntegro visible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Colección propia parcial / completa / excedida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10 / 00 / 20, sin solapamientos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Colección ajena parcial / completa / excedida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11 / 01 / 21, con usuario y cantidades correctas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Dos usuarios sobre el mismo BOX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colectado, colectado_otros y colectado_x_box diferenciados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Reemplazo por el mismo producto en otro BOX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Original y reemplazo visibles con relación y cantidades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Reemplazo por un producto diferente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Relación original/reemplazo y estado inequívoco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Reemplazo parcial y total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Pedido, pendiente y colectado consistentes en ambas variantes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H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Reemplazo generado por otro usuario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Visibilidad y permiso de carga definidos por contrato</w:t>
            </w:r>
          </w:p>
        </w:tc>
      </w:tr>
    </w:tbl>
    <w:p>
      <w:pPr>
        <w:pStyle w:val="Heading1"/>
        <w:keepNext/>
        <w:spacing w:before="200" w:after="80"/>
      </w:pPr>
      <w:r>
        <w:t>7. Consultas concretas para el DBA</w:t>
      </w:r>
    </w:p>
    <w:p>
      <w:pPr>
        <w:pStyle w:val="ListBullet"/>
        <w:spacing w:after="40"/>
      </w:pPr>
      <w:r>
        <w:t>¿Cuál es la fórmula exacta de colectado_otros, colectado_x_box y colectado_x_p, y qué dimensiones incluye cada una?</w:t>
      </w:r>
    </w:p>
    <w:p>
      <w:pPr>
        <w:pStyle w:val="ListBullet"/>
        <w:spacing w:after="40"/>
      </w:pPr>
      <w:r>
        <w:t>¿Qué condiciones mutuamente excluyentes deben producir 00 y 01?</w:t>
      </w:r>
    </w:p>
    <w:p>
      <w:pPr>
        <w:pStyle w:val="ListBullet"/>
        <w:spacing w:after="40"/>
      </w:pPr>
      <w:r>
        <w:t>¿El estado 02 sigue vigente? En caso afirmativo, ¿cuándo se asigna?</w:t>
      </w:r>
    </w:p>
    <w:p>
      <w:pPr>
        <w:pStyle w:val="ListBullet"/>
        <w:spacing w:after="40"/>
      </w:pPr>
      <w:r>
        <w:t>¿Cuál es la diferencia funcional definitiva entre 03, 04 y 40?</w:t>
      </w:r>
    </w:p>
    <w:p>
      <w:pPr>
        <w:pStyle w:val="ListBullet"/>
        <w:spacing w:after="40"/>
      </w:pPr>
      <w:r>
        <w:t>¿Cómo y con qué prioridad se asignan E0 y E1?</w:t>
      </w:r>
    </w:p>
    <w:p>
      <w:pPr>
        <w:pStyle w:val="ListBullet"/>
        <w:spacing w:after="40"/>
      </w:pPr>
      <w:r>
        <w:t>¿Un producto original reemplazado totalmente debe continuar en la salida aun cuando su pendiente quede en cero?</w:t>
      </w:r>
    </w:p>
    <w:p>
      <w:pPr>
        <w:pStyle w:val="ListBullet"/>
        <w:spacing w:after="40"/>
      </w:pPr>
      <w:r>
        <w:t>¿Cómo se espera representar el reemplazo parcial: pedido original, cantidad reemplazada y saldo pendiente?</w:t>
      </w:r>
    </w:p>
    <w:p>
      <w:pPr>
        <w:pStyle w:val="ListBullet"/>
        <w:spacing w:after="40"/>
      </w:pPr>
      <w:r>
        <w:t>¿@adm_id debe afectar la salida o sólo se conserva por compatibilidad?</w:t>
      </w:r>
    </w:p>
    <w:p>
      <w:pPr>
        <w:pStyle w:val="Heading1"/>
        <w:keepNext/>
        <w:spacing w:before="200" w:after="80"/>
      </w:pPr>
      <w:r>
        <w:t>8. Adaptación realizada en Pocket</w:t>
      </w:r>
    </w:p>
    <w:p>
      <w:r>
        <w:t>Sin modificar los procedimientos, se actualizó el consumo del modelo en el módulo TR para:</w:t>
      </w:r>
    </w:p>
    <w:p>
      <w:pPr>
        <w:pStyle w:val="ListBullet"/>
        <w:spacing w:after="40"/>
      </w:pPr>
      <w:r>
        <w:t>recibir remplazo_box, colectado_x_box y colectado_x_p, además de los campos ya incorporados;</w:t>
      </w:r>
    </w:p>
    <w:p>
      <w:pPr>
        <w:pStyle w:val="ListBullet"/>
        <w:spacing w:after="40"/>
      </w:pPr>
      <w:r>
        <w:t>mostrar estado, mensaje del procedimiento y avance por usuario, otros usuarios, BOX y producto;</w:t>
      </w:r>
    </w:p>
    <w:p>
      <w:pPr>
        <w:pStyle w:val="ListBullet"/>
        <w:spacing w:after="40"/>
      </w:pPr>
      <w:r>
        <w:t>informar claramente la relación entre el producto reemplazado y el producto original;</w:t>
      </w:r>
    </w:p>
    <w:p>
      <w:pPr>
        <w:pStyle w:val="ListBullet"/>
        <w:spacing w:after="40"/>
      </w:pPr>
      <w:r>
        <w:t>aplicar bloqueos preventivos en E1 y 21, y evitar que una línea marcada como reemplazo vuelva a reemplazarse;</w:t>
      </w:r>
    </w:p>
    <w:p>
      <w:pPr>
        <w:pStyle w:val="ListBullet"/>
        <w:spacing w:after="40"/>
      </w:pPr>
      <w:r>
        <w:t>mantener los mensajes del negocio con el término reemplazo; los nombres técnicos remplazo_* se conservan porque pertenecen al contrato del SP.</w:t>
      </w:r>
    </w:p>
    <w:p>
      <w:pPr>
        <w:spacing w:before="80" w:after="100"/>
        <w:ind w:left="198" w:right="198"/>
      </w:pPr>
      <w:r>
        <w:rPr>
          <w:b/>
          <w:color w:val="2F5597"/>
        </w:rPr>
        <w:t xml:space="preserve">Pendiente de cierre: </w:t>
      </w:r>
      <w:r>
        <w:t>una vez recibidas las respuestas del DBA, ajustar la matriz de permisos y certificar los casos A-H contra datos controlados.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575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575"/>
        <w:sz w:val="16"/>
      </w:rPr>
      <w:t>GECO Pocket  |  Transferencias entre sucursales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Observaciones sobre SPGECO_TR_Lista_Productos</dc:title>
  <dc:subject>Contrato de salida y estados parciales para Pocket TR</dc:subject>
  <dc:creator>Equipo GECO</dc:creator>
  <cp:keywords>Pocket, TR, reemplazo, SPGECO_TR_Lista_Productos, DBA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