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i w:val="0"/>
          <w:color w:val="D29B00"/>
          <w:sz w:val="20"/>
        </w:rPr>
        <w:t>RESUMEN DE IMPLEMENTACIÓN</w:t>
      </w:r>
    </w:p>
    <w:p>
      <w:pPr>
        <w:spacing w:after="80"/>
      </w:pPr>
      <w:r>
        <w:rPr>
          <w:rFonts w:ascii="Calibri" w:hAnsi="Calibri"/>
          <w:b/>
          <w:i w:val="0"/>
          <w:color w:val="304E6B"/>
          <w:sz w:val="50"/>
        </w:rPr>
        <w:t>Reemplazo de productos en Pocket</w:t>
      </w:r>
    </w:p>
    <w:p>
      <w:pPr>
        <w:spacing w:after="240"/>
      </w:pPr>
      <w:r>
        <w:rPr>
          <w:rFonts w:ascii="Calibri" w:hAnsi="Calibri"/>
          <w:b w:val="0"/>
          <w:i w:val="0"/>
          <w:color w:val="667785"/>
          <w:sz w:val="28"/>
        </w:rPr>
        <w:t>Transferencias entre Sucursales y Órdenes de Reparto</w:t>
      </w:r>
    </w:p>
    <w:p>
      <w:pPr>
        <w:spacing w:after="100"/>
      </w:pPr>
      <w:r>
        <w:rPr>
          <w:rFonts w:ascii="Calibri" w:hAnsi="Calibri"/>
          <w:b/>
          <w:i w:val="0"/>
          <w:color w:val="304E6B"/>
          <w:sz w:val="22"/>
        </w:rPr>
        <w:t xml:space="preserve">Estado: </w:t>
      </w:r>
      <w:r>
        <w:rPr>
          <w:rFonts w:ascii="Calibri" w:hAnsi="Calibri"/>
          <w:b w:val="0"/>
          <w:i w:val="0"/>
          <w:color w:val="243746"/>
          <w:sz w:val="22"/>
        </w:rPr>
        <w:t>Implementado y compilado</w:t>
      </w:r>
    </w:p>
    <w:p>
      <w:pPr>
        <w:spacing w:after="100"/>
      </w:pPr>
      <w:r>
        <w:rPr>
          <w:rFonts w:ascii="Calibri" w:hAnsi="Calibri"/>
          <w:b/>
          <w:i w:val="0"/>
          <w:color w:val="304E6B"/>
          <w:sz w:val="22"/>
        </w:rPr>
        <w:t xml:space="preserve">Fecha: </w:t>
      </w:r>
      <w:r>
        <w:rPr>
          <w:rFonts w:ascii="Calibri" w:hAnsi="Calibri"/>
          <w:b w:val="0"/>
          <w:i w:val="0"/>
          <w:color w:val="243746"/>
          <w:sz w:val="22"/>
        </w:rPr>
        <w:t>3 de septiembre de 2026</w:t>
      </w:r>
    </w:p>
    <w:p>
      <w:pPr>
        <w:spacing w:after="240"/>
        <w:pBdr>
          <w:bottom w:val="single" w:sz="14" w:space="1" w:color="D29B00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04E6B"/>
                <w:sz w:val="22"/>
              </w:rPr>
              <w:t xml:space="preserve">Decisión de interfaz. </w:t>
            </w:r>
            <w:r>
              <w:rPr>
                <w:rFonts w:ascii="Calibri" w:hAnsi="Calibri"/>
                <w:b w:val="0"/>
                <w:i w:val="0"/>
                <w:color w:val="243746"/>
                <w:sz w:val="22"/>
              </w:rPr>
              <w:t>El reemplazo se inicia desde un botón naranja en la fila del producto. La pantalla siguiente queda bloqueada en modo reemplazo y conserva el producto y BOX originales.</w:t>
            </w:r>
          </w:p>
        </w:tc>
      </w:tr>
    </w:tbl>
    <w:p>
      <w:pPr>
        <w:spacing w:after="0"/>
      </w:pPr>
    </w:p>
    <w:p>
      <w:pPr>
        <w:pStyle w:val="Heading1"/>
      </w:pPr>
      <w:r>
        <w:t>1. Alcance</w:t>
      </w:r>
    </w:p>
    <w:p>
      <w:pPr>
        <w:spacing w:after="100"/>
      </w:pPr>
      <w:r>
        <w:rPr>
          <w:rFonts w:ascii="Calibri" w:hAnsi="Calibri"/>
          <w:b/>
          <w:i w:val="0"/>
          <w:color w:val="304E6B"/>
          <w:sz w:val="22"/>
        </w:rPr>
        <w:t xml:space="preserve">Transferencias: </w:t>
      </w:r>
      <w:r>
        <w:rPr>
          <w:rFonts w:ascii="Calibri" w:hAnsi="Calibri"/>
          <w:b w:val="0"/>
          <w:i w:val="0"/>
          <w:color w:val="243746"/>
          <w:sz w:val="22"/>
        </w:rPr>
        <w:t>el botón se habilita solamente para transferencias entre sucursales con autorización.</w:t>
      </w:r>
    </w:p>
    <w:p>
      <w:pPr>
        <w:spacing w:after="100"/>
      </w:pPr>
      <w:r>
        <w:rPr>
          <w:rFonts w:ascii="Calibri" w:hAnsi="Calibri"/>
          <w:b/>
          <w:i w:val="0"/>
          <w:color w:val="304E6B"/>
          <w:sz w:val="22"/>
        </w:rPr>
        <w:t xml:space="preserve">Órdenes de reparto: </w:t>
      </w:r>
      <w:r>
        <w:rPr>
          <w:rFonts w:ascii="Calibri" w:hAnsi="Calibri"/>
          <w:b w:val="0"/>
          <w:i w:val="0"/>
          <w:color w:val="243746"/>
          <w:sz w:val="22"/>
        </w:rPr>
        <w:t>la misma operación está disponible sobre cada producto de la OR.</w:t>
      </w:r>
    </w:p>
    <w:p>
      <w:pPr>
        <w:spacing w:after="100"/>
      </w:pPr>
      <w:r>
        <w:rPr>
          <w:rFonts w:ascii="Calibri" w:hAnsi="Calibri"/>
          <w:b/>
          <w:i w:val="0"/>
          <w:color w:val="304E6B"/>
          <w:sz w:val="22"/>
        </w:rPr>
        <w:t xml:space="preserve">Sin cambios: </w:t>
      </w:r>
      <w:r>
        <w:rPr>
          <w:rFonts w:ascii="Calibri" w:hAnsi="Calibri"/>
          <w:b w:val="0"/>
          <w:i w:val="0"/>
          <w:color w:val="243746"/>
          <w:sz w:val="22"/>
        </w:rPr>
        <w:t>la carga común continúa usando el botón verde y envía remplazar = 0.</w:t>
      </w:r>
    </w:p>
    <w:p>
      <w:pPr>
        <w:pStyle w:val="Heading1"/>
      </w:pPr>
      <w:r>
        <w:t>2. Experiencia del operador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18580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reemplaz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8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667785"/>
          <w:sz w:val="18"/>
        </w:rPr>
        <w:t>Figura 1. Recorrido único para TR y OR desde la selección hasta el SP de carga.</w:t>
      </w:r>
    </w:p>
    <w:p>
      <w:pPr>
        <w:spacing w:after="100"/>
      </w:pPr>
      <w:r>
        <w:rPr>
          <w:rFonts w:ascii="Calibri" w:hAnsi="Calibri"/>
          <w:b/>
          <w:i w:val="0"/>
          <w:color w:val="304E6B"/>
          <w:sz w:val="22"/>
        </w:rPr>
        <w:t xml:space="preserve">Señalización: </w:t>
      </w:r>
      <w:r>
        <w:rPr>
          <w:rFonts w:ascii="Calibri" w:hAnsi="Calibri"/>
          <w:b w:val="0"/>
          <w:i w:val="0"/>
          <w:color w:val="243746"/>
          <w:sz w:val="22"/>
        </w:rPr>
        <w:t>la pantalla muestra una banda MODO REEMPLAZO con código, descripción, pedido y BOX original.</w:t>
      </w:r>
    </w:p>
    <w:p>
      <w:pPr>
        <w:spacing w:after="100"/>
      </w:pPr>
      <w:r>
        <w:rPr>
          <w:rFonts w:ascii="Calibri" w:hAnsi="Calibri"/>
          <w:b/>
          <w:i w:val="0"/>
          <w:color w:val="304E6B"/>
          <w:sz w:val="22"/>
        </w:rPr>
        <w:t xml:space="preserve">Prevención de errores: </w:t>
      </w:r>
      <w:r>
        <w:rPr>
          <w:rFonts w:ascii="Calibri" w:hAnsi="Calibri"/>
          <w:b w:val="0"/>
          <w:i w:val="0"/>
          <w:color w:val="243746"/>
          <w:sz w:val="22"/>
        </w:rPr>
        <w:t>se permite seleccionar el mismo producto o uno diferente y se exige validar el BOX del reemplazo.</w:t>
      </w:r>
    </w:p>
    <w:p>
      <w:pPr>
        <w:pStyle w:val="Heading1"/>
      </w:pPr>
      <w:r>
        <w:t>3. Contrato enviado a base de datos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892040" cy="18263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eo_reemplaz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182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667785"/>
          <w:sz w:val="18"/>
        </w:rPr>
        <w:t>Figura 2. El request distingue el origen pedido del producto que realmente se colecta.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50"/>
        <w:gridCol w:w="3550"/>
        <w:gridCol w:w="3560"/>
      </w:tblGrid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304E6B"/>
                <w:sz w:val="22"/>
              </w:rPr>
              <w:t>Campo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304E6B"/>
                <w:sz w:val="22"/>
              </w:rPr>
              <w:t>Carga normal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304E6B"/>
                <w:sz w:val="22"/>
              </w:rPr>
              <w:t>Reemplazo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304E6B"/>
                <w:sz w:val="22"/>
              </w:rPr>
              <w:t>p_id / box_id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43746"/>
                <w:sz w:val="22"/>
              </w:rPr>
              <w:t>Producto pedido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43746"/>
                <w:sz w:val="22"/>
              </w:rPr>
              <w:t>Producto y BOX de reemplazo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304E6B"/>
                <w:sz w:val="22"/>
              </w:rPr>
              <w:t>remplazar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43746"/>
                <w:sz w:val="22"/>
              </w:rPr>
              <w:t>0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43746"/>
                <w:sz w:val="22"/>
              </w:rPr>
              <w:t>1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304E6B"/>
                <w:sz w:val="22"/>
              </w:rPr>
              <w:t>remplazar_p_id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43746"/>
                <w:sz w:val="22"/>
              </w:rPr>
              <w:t>Sin valor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43746"/>
                <w:sz w:val="22"/>
              </w:rPr>
              <w:t>Producto original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304E6B"/>
                <w:sz w:val="22"/>
              </w:rPr>
              <w:t>remplazar_box_id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43746"/>
                <w:sz w:val="22"/>
              </w:rPr>
              <w:t>Sin valor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43746"/>
                <w:sz w:val="22"/>
              </w:rPr>
              <w:t>BOX original</w:t>
            </w:r>
          </w:p>
        </w:tc>
      </w:tr>
    </w:tbl>
    <w:p>
      <w:pPr>
        <w:spacing w:before="80" w:after="80"/>
      </w:pPr>
      <w:r>
        <w:rPr>
          <w:rFonts w:ascii="Calibri" w:hAnsi="Calibri"/>
          <w:b w:val="0"/>
          <w:i/>
          <w:color w:val="667785"/>
          <w:sz w:val="18"/>
        </w:rPr>
        <w:t>Los parámetros se agregaron únicamente a SPGECO_TR_Carrito_Carga y SPGECO_OR_Carrito_Carga.</w:t>
      </w:r>
    </w:p>
    <w:p>
      <w:pPr>
        <w:pStyle w:val="Heading1"/>
        <w:pageBreakBefore/>
      </w:pPr>
      <w:r>
        <w:t>4. Secuencia técnica y consulta al DBA</w:t>
      </w:r>
    </w:p>
    <w:p>
      <w:pPr>
        <w:spacing w:after="100" w:line="252" w:lineRule="auto"/>
      </w:pPr>
      <w:r>
        <w:rPr>
          <w:rFonts w:ascii="Calibri" w:hAnsi="Calibri"/>
          <w:b/>
          <w:color w:val="243746"/>
          <w:sz w:val="21"/>
        </w:rPr>
        <w:t xml:space="preserve">Objetivo. </w:t>
      </w:r>
      <w:r>
        <w:rPr>
          <w:rFonts w:ascii="Calibri" w:hAnsi="Calibri"/>
          <w:b w:val="0"/>
          <w:color w:val="243746"/>
          <w:sz w:val="21"/>
        </w:rPr>
        <w:t>Esta secuencia técnica complementa el recorrido operativo de la Figura 1 y muestra el ciclo completo entre Pocket, la API y la base de datos.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15280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tecnico_6_pas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528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5B6573"/>
          <w:sz w:val="17"/>
        </w:rPr>
        <w:t>Figura 3. Secuencia técnica de seis pasos: confirmar, validar, grabar, volver, solicitar y reconstruir.</w:t>
      </w:r>
    </w:p>
    <w:p>
      <w:pPr>
        <w:pStyle w:val="ListNumber"/>
        <w:spacing w:after="100" w:line="252" w:lineRule="auto"/>
        <w:ind w:left="403" w:hanging="288"/>
      </w:pPr>
      <w:r>
        <w:rPr>
          <w:rFonts w:ascii="Calibri" w:hAnsi="Calibri"/>
          <w:b/>
          <w:color w:val="243746"/>
          <w:sz w:val="21"/>
        </w:rPr>
        <w:t xml:space="preserve">Confirmación en Pocket. </w:t>
      </w:r>
      <w:r>
        <w:rPr>
          <w:rFonts w:ascii="Calibri" w:hAnsi="Calibri"/>
          <w:b w:val="0"/>
          <w:color w:val="243746"/>
          <w:sz w:val="21"/>
        </w:rPr>
        <w:t>El operador valida el BOX, selecciona el producto de reemplazo (igual o distinto) e informa la cantidad.</w:t>
      </w:r>
    </w:p>
    <w:p>
      <w:pPr>
        <w:pStyle w:val="ListNumber"/>
        <w:spacing w:after="100" w:line="252" w:lineRule="auto"/>
        <w:ind w:left="403" w:hanging="288"/>
      </w:pPr>
      <w:r>
        <w:rPr>
          <w:rFonts w:ascii="Calibri" w:hAnsi="Calibri"/>
          <w:b/>
          <w:color w:val="243746"/>
          <w:sz w:val="21"/>
        </w:rPr>
        <w:t xml:space="preserve">Validación previa. </w:t>
      </w:r>
      <w:r>
        <w:rPr>
          <w:rFonts w:ascii="Calibri" w:hAnsi="Calibri"/>
          <w:b w:val="0"/>
          <w:color w:val="243746"/>
          <w:sz w:val="21"/>
        </w:rPr>
        <w:t>El controlador solicita a la API la ejecución de SPGECO_TR_Carrito_Valida.</w:t>
      </w:r>
    </w:p>
    <w:p>
      <w:pPr>
        <w:pStyle w:val="ListNumber"/>
        <w:spacing w:after="100" w:line="252" w:lineRule="auto"/>
        <w:ind w:left="403" w:hanging="288"/>
      </w:pPr>
      <w:r>
        <w:rPr>
          <w:rFonts w:ascii="Calibri" w:hAnsi="Calibri"/>
          <w:b/>
          <w:color w:val="243746"/>
          <w:sz w:val="21"/>
        </w:rPr>
        <w:t xml:space="preserve">Persistencia. </w:t>
      </w:r>
      <w:r>
        <w:rPr>
          <w:rFonts w:ascii="Calibri" w:hAnsi="Calibri"/>
          <w:b w:val="0"/>
          <w:color w:val="243746"/>
          <w:sz w:val="21"/>
        </w:rPr>
        <w:t>Si la validación es correcta, la API ejecuta SPGECO_TR_Carrito_Carga. Cuando es reemplazo envía remplazar = 1, remplazar_box_id y remplazar_p_id con los datos originales.</w:t>
      </w:r>
    </w:p>
    <w:p>
      <w:pPr>
        <w:pStyle w:val="ListNumber"/>
        <w:spacing w:after="100" w:line="252" w:lineRule="auto"/>
        <w:ind w:left="403" w:hanging="288"/>
      </w:pPr>
      <w:r>
        <w:rPr>
          <w:rFonts w:ascii="Calibri" w:hAnsi="Calibri"/>
          <w:b/>
          <w:color w:val="243746"/>
          <w:sz w:val="21"/>
        </w:rPr>
        <w:t xml:space="preserve">Retorno a la carga. </w:t>
      </w:r>
      <w:r>
        <w:rPr>
          <w:rFonts w:ascii="Calibri" w:hAnsi="Calibri"/>
          <w:b w:val="0"/>
          <w:color w:val="243746"/>
          <w:sz w:val="21"/>
        </w:rPr>
        <w:t>Al responder correctamente, la pantalla redirige a TICargaCarrito.</w:t>
      </w:r>
    </w:p>
    <w:p>
      <w:pPr>
        <w:pStyle w:val="ListNumber"/>
        <w:spacing w:after="100" w:line="252" w:lineRule="auto"/>
        <w:ind w:left="403" w:hanging="288"/>
      </w:pPr>
      <w:r>
        <w:rPr>
          <w:rFonts w:ascii="Calibri" w:hAnsi="Calibri"/>
          <w:b/>
          <w:color w:val="243746"/>
          <w:sz w:val="21"/>
        </w:rPr>
        <w:t xml:space="preserve">Recarga de la grilla. </w:t>
      </w:r>
      <w:r>
        <w:rPr>
          <w:rFonts w:ascii="Calibri" w:hAnsi="Calibri"/>
          <w:b w:val="0"/>
          <w:color w:val="243746"/>
          <w:sz w:val="21"/>
        </w:rPr>
        <w:t>Al inicializarse la vista, presentaListaProducto("B") invoca BuscaTIListaProductos conservando el BOX o rubro seleccionado.</w:t>
      </w:r>
    </w:p>
    <w:p>
      <w:pPr>
        <w:pStyle w:val="ListNumber"/>
        <w:spacing w:after="100" w:line="252" w:lineRule="auto"/>
        <w:ind w:left="403" w:hanging="288"/>
      </w:pPr>
      <w:r>
        <w:rPr>
          <w:rFonts w:ascii="Calibri" w:hAnsi="Calibri"/>
          <w:b/>
          <w:color w:val="243746"/>
          <w:sz w:val="21"/>
        </w:rPr>
        <w:t xml:space="preserve">Lectura posterior. </w:t>
      </w:r>
      <w:r>
        <w:rPr>
          <w:rFonts w:ascii="Calibri" w:hAnsi="Calibri"/>
          <w:b w:val="0"/>
          <w:color w:val="243746"/>
          <w:sz w:val="21"/>
        </w:rPr>
        <w:t>La API ejecuta SPGECO_TR_Lista_Productos y reconstruye los productos mostrados en la grilla.</w:t>
      </w:r>
    </w:p>
    <w:p>
      <w:pPr>
        <w:pStyle w:val="Heading2"/>
        <w:keepNext/>
      </w:pPr>
      <w:r>
        <w:t>Riesgo identificado</w:t>
      </w:r>
    </w:p>
    <w:p>
      <w:pPr>
        <w:spacing w:after="100" w:line="252" w:lineRule="auto"/>
      </w:pPr>
      <w:r>
        <w:rPr>
          <w:rFonts w:ascii="Calibri" w:hAnsi="Calibri"/>
          <w:b/>
          <w:color w:val="243746"/>
          <w:sz w:val="21"/>
        </w:rPr>
        <w:t xml:space="preserve">Escenario. </w:t>
      </w:r>
      <w:r>
        <w:rPr>
          <w:rFonts w:ascii="Calibri" w:hAnsi="Calibri"/>
          <w:b w:val="0"/>
          <w:color w:val="243746"/>
          <w:sz w:val="21"/>
        </w:rPr>
        <w:t>La línea fue pedida para el BOX original 01000000000, pero el producto de reemplazo se colecta desde otro BOX. Después de grabar, Pocket vuelve a consultar la lista filtrando por el BOX original:</w:t>
      </w:r>
    </w:p>
    <w:p>
      <w:pPr>
        <w:spacing w:before="60" w:after="140"/>
        <w:ind w:left="259" w:right="259"/>
        <w:shd w:fill="F2F4F6"/>
        <w:pBdr>
          <w:top w:val="single" w:sz="6" w:space="4" w:color="D5DAE0"/>
          <w:left w:val="single" w:sz="6" w:space="4" w:color="D5DAE0"/>
          <w:bottom w:val="single" w:sz="6" w:space="4" w:color="D5DAE0"/>
          <w:right w:val="single" w:sz="6" w:space="4" w:color="D5DAE0"/>
        </w:pBdr>
      </w:pPr>
      <w:r>
        <w:rPr>
          <w:rFonts w:ascii="Consolas" w:hAnsi="Consolas"/>
          <w:b w:val="0"/>
          <w:color w:val="243746"/>
          <w:sz w:val="18"/>
        </w:rPr>
        <w:t>EXEC SPGECO_TR_Lista_Productos '00-00017363', '0000', 'jjbenz', '01000000000', '%';</w:t>
      </w:r>
    </w:p>
    <w:p>
      <w:pPr>
        <w:spacing w:after="100" w:line="252" w:lineRule="auto"/>
      </w:pPr>
      <w:r>
        <w:rPr>
          <w:rFonts w:ascii="Calibri" w:hAnsi="Calibri"/>
          <w:b/>
          <w:color w:val="243746"/>
          <w:sz w:val="21"/>
        </w:rPr>
        <w:t xml:space="preserve">Posible efecto. </w:t>
      </w:r>
      <w:r>
        <w:rPr>
          <w:rFonts w:ascii="Calibri" w:hAnsi="Calibri"/>
          <w:b w:val="0"/>
          <w:color w:val="243746"/>
          <w:sz w:val="21"/>
        </w:rPr>
        <w:t>Si SPGECO_TR_Lista_Productos relaciona la línea únicamente con el BOX físico finalmente colectado, el filtro 01000000000 podría devolver menos registros u omitir la línea original. La carga podría haberse guardado correctamente, pero la grilla quedaría incompleta o aparentaría que el pedido desapareció.</w:t>
      </w:r>
    </w:p>
    <w:p>
      <w:pPr>
        <w:spacing w:before="100" w:after="100" w:line="252" w:lineRule="auto"/>
        <w:ind w:left="173" w:right="173"/>
        <w:shd w:fill="FFF4CE"/>
        <w:pBdr>
          <w:top w:val="single" w:sz="6" w:space="4" w:color="F39C12"/>
          <w:left w:val="single" w:sz="6" w:space="4" w:color="F39C12"/>
          <w:bottom w:val="single" w:sz="6" w:space="4" w:color="F39C12"/>
          <w:right w:val="single" w:sz="6" w:space="4" w:color="F39C12"/>
        </w:pBdr>
      </w:pPr>
      <w:r>
        <w:rPr>
          <w:rFonts w:ascii="Calibri" w:hAnsi="Calibri"/>
          <w:b/>
          <w:color w:val="243746"/>
          <w:sz w:val="21"/>
        </w:rPr>
        <w:t xml:space="preserve">Consulta principal al DBA. </w:t>
      </w:r>
      <w:r>
        <w:rPr>
          <w:rFonts w:ascii="Calibri" w:hAnsi="Calibri"/>
          <w:b w:val="0"/>
          <w:color w:val="243746"/>
          <w:sz w:val="21"/>
        </w:rPr>
        <w:t>¿SPGECO_TR_Lista_Productos debe conservar y devolver la línea pedida bajo el producto y BOX originales, aun cuando la colecta se haya realizado con otro producto o desde otro BOX?</w:t>
      </w:r>
    </w:p>
    <w:p>
      <w:pPr>
        <w:pStyle w:val="Heading2"/>
        <w:keepNext/>
      </w:pPr>
      <w:r>
        <w:t>Puntos que debe definir el DBA</w:t>
      </w:r>
    </w:p>
    <w:p>
      <w:pPr>
        <w:pStyle w:val="ListBullet"/>
        <w:spacing w:after="100" w:line="252" w:lineRule="auto"/>
        <w:ind w:left="360" w:hanging="259"/>
      </w:pPr>
      <w:r>
        <w:rPr>
          <w:rFonts w:ascii="Calibri" w:hAnsi="Calibri"/>
          <w:b/>
          <w:color w:val="243746"/>
          <w:sz w:val="21"/>
        </w:rPr>
        <w:t xml:space="preserve">Identidad de la línea. </w:t>
      </w:r>
      <w:r>
        <w:rPr>
          <w:rFonts w:ascii="Calibri" w:hAnsi="Calibri"/>
          <w:b w:val="0"/>
          <w:color w:val="243746"/>
          <w:sz w:val="21"/>
        </w:rPr>
        <w:t>Confirmar si el listado debe agrupar y filtrar por el producto/BOX originales del pedido, usando los nuevos campos de reemplazo para vincular la colecta.</w:t>
      </w:r>
    </w:p>
    <w:p>
      <w:pPr>
        <w:pStyle w:val="ListBullet"/>
        <w:spacing w:after="100" w:line="252" w:lineRule="auto"/>
        <w:ind w:left="360" w:hanging="259"/>
      </w:pPr>
      <w:r>
        <w:rPr>
          <w:rFonts w:ascii="Calibri" w:hAnsi="Calibri"/>
          <w:b/>
          <w:color w:val="243746"/>
          <w:sz w:val="21"/>
        </w:rPr>
        <w:t xml:space="preserve">Cantidad colectada. </w:t>
      </w:r>
      <w:r>
        <w:rPr>
          <w:rFonts w:ascii="Calibri" w:hAnsi="Calibri"/>
          <w:b w:val="0"/>
          <w:color w:val="243746"/>
          <w:sz w:val="21"/>
        </w:rPr>
        <w:t>Definir cómo se acumula y muestra la cantidad del reemplazo sobre la línea original, sin perderla ni duplicarla.</w:t>
      </w:r>
    </w:p>
    <w:p>
      <w:pPr>
        <w:pStyle w:val="ListBullet"/>
        <w:spacing w:after="100" w:line="252" w:lineRule="auto"/>
        <w:ind w:left="360" w:hanging="259"/>
      </w:pPr>
      <w:r>
        <w:rPr>
          <w:rFonts w:ascii="Calibri" w:hAnsi="Calibri"/>
          <w:b/>
          <w:color w:val="243746"/>
          <w:sz w:val="21"/>
        </w:rPr>
        <w:t xml:space="preserve">Mismo producto, otro BOX. </w:t>
      </w:r>
      <w:r>
        <w:rPr>
          <w:rFonts w:ascii="Calibri" w:hAnsi="Calibri"/>
          <w:b w:val="0"/>
          <w:color w:val="243746"/>
          <w:sz w:val="21"/>
        </w:rPr>
        <w:t>Validar expresamente que este caso permanezca visible al consultar por el BOX original.</w:t>
      </w:r>
    </w:p>
    <w:p>
      <w:pPr>
        <w:pStyle w:val="ListBullet"/>
        <w:spacing w:after="100" w:line="252" w:lineRule="auto"/>
        <w:ind w:left="360" w:hanging="259"/>
      </w:pPr>
      <w:r>
        <w:rPr>
          <w:rFonts w:ascii="Calibri" w:hAnsi="Calibri"/>
          <w:b/>
          <w:color w:val="243746"/>
          <w:sz w:val="21"/>
        </w:rPr>
        <w:t xml:space="preserve">Producto distinto, otro BOX. </w:t>
      </w:r>
      <w:r>
        <w:rPr>
          <w:rFonts w:ascii="Calibri" w:hAnsi="Calibri"/>
          <w:b w:val="0"/>
          <w:color w:val="243746"/>
          <w:sz w:val="21"/>
        </w:rPr>
        <w:t>Definir si además deben devolverse el producto y BOX realmente colectados como información de trazabilidad.</w:t>
      </w:r>
    </w:p>
    <w:p>
      <w:pPr>
        <w:pStyle w:val="ListBullet"/>
        <w:spacing w:after="100" w:line="252" w:lineRule="auto"/>
        <w:ind w:left="360" w:hanging="259"/>
      </w:pPr>
      <w:r>
        <w:rPr>
          <w:rFonts w:ascii="Calibri" w:hAnsi="Calibri"/>
          <w:b/>
          <w:color w:val="243746"/>
          <w:sz w:val="21"/>
        </w:rPr>
        <w:t xml:space="preserve">Consistencia del filtro. </w:t>
      </w:r>
      <w:r>
        <w:rPr>
          <w:rFonts w:ascii="Calibri" w:hAnsi="Calibri"/>
          <w:b w:val="0"/>
          <w:color w:val="243746"/>
          <w:sz w:val="21"/>
        </w:rPr>
        <w:t>Asegurar que cambiar el BOX físico del reemplazo no reduzca por sí solo la cantidad de registros que devuelve la consulta del BOX original.</w:t>
      </w:r>
    </w:p>
    <w:p>
      <w:pPr>
        <w:pStyle w:val="ListBullet"/>
        <w:spacing w:after="100" w:line="252" w:lineRule="auto"/>
        <w:ind w:left="360" w:hanging="259"/>
      </w:pPr>
      <w:r>
        <w:rPr>
          <w:rFonts w:ascii="Calibri" w:hAnsi="Calibri"/>
          <w:b/>
          <w:color w:val="243746"/>
          <w:sz w:val="21"/>
        </w:rPr>
        <w:t xml:space="preserve">Alcance equivalente en OR. </w:t>
      </w:r>
      <w:r>
        <w:rPr>
          <w:rFonts w:ascii="Calibri" w:hAnsi="Calibri"/>
          <w:b w:val="0"/>
          <w:color w:val="243746"/>
          <w:sz w:val="21"/>
        </w:rPr>
        <w:t>Revisar el procedimiento de listado de Órdenes de Reparto con el mismo criterio de identidad original y trazabilidad del reemplazo.</w:t>
      </w:r>
    </w:p>
    <w:p>
      <w:pPr>
        <w:spacing w:before="120" w:after="100" w:line="252" w:lineRule="auto"/>
        <w:shd w:fill="EAF3F8"/>
        <w:pBdr>
          <w:top w:val="single" w:sz="6" w:space="4" w:color="2E74B5"/>
          <w:left w:val="single" w:sz="6" w:space="4" w:color="2E74B5"/>
          <w:bottom w:val="single" w:sz="6" w:space="4" w:color="2E74B5"/>
          <w:right w:val="single" w:sz="6" w:space="4" w:color="2E74B5"/>
        </w:pBdr>
      </w:pPr>
      <w:r>
        <w:rPr>
          <w:rFonts w:ascii="Calibri" w:hAnsi="Calibri"/>
          <w:b/>
          <w:color w:val="243746"/>
          <w:sz w:val="21"/>
        </w:rPr>
        <w:t xml:space="preserve">Resultado esperado del contrato. </w:t>
      </w:r>
      <w:r>
        <w:rPr>
          <w:rFonts w:ascii="Calibri" w:hAnsi="Calibri"/>
          <w:b w:val="0"/>
          <w:color w:val="243746"/>
          <w:sz w:val="21"/>
        </w:rPr>
        <w:t>La línea original debe seguir visible en su BOX/rubro de pedido, la cantidad colectada debe reflejar el reemplazo y el BOX/producto físicos deben quedar disponibles para trazabilidad, sin doble conteo ni pérdida de registros.</w:t>
      </w:r>
    </w:p>
    <w:p>
      <w:pPr>
        <w:pStyle w:val="Heading1"/>
        <w:keepNext/>
      </w:pPr>
      <w:r>
        <w:t>5. Cambios implementados</w:t>
      </w:r>
    </w:p>
    <w:p>
      <w:pPr>
        <w:spacing w:after="100"/>
      </w:pPr>
      <w:r>
        <w:rPr>
          <w:rFonts w:ascii="Calibri" w:hAnsi="Calibri"/>
          <w:b/>
          <w:i w:val="0"/>
          <w:color w:val="304E6B"/>
          <w:sz w:val="22"/>
        </w:rPr>
        <w:t xml:space="preserve">Interfaz y sesión: </w:t>
      </w:r>
      <w:r>
        <w:rPr>
          <w:rFonts w:ascii="Calibri" w:hAnsi="Calibri"/>
          <w:b w:val="0"/>
          <w:i w:val="0"/>
          <w:color w:val="243746"/>
          <w:sz w:val="22"/>
        </w:rPr>
        <w:t>Botón por fila, banner persistente y conservación segura del producto/BOX originales.</w:t>
      </w:r>
    </w:p>
    <w:p>
      <w:pPr>
        <w:spacing w:after="100"/>
      </w:pPr>
      <w:r>
        <w:rPr>
          <w:rFonts w:ascii="Calibri" w:hAnsi="Calibri"/>
          <w:b/>
          <w:i w:val="0"/>
          <w:color w:val="304E6B"/>
          <w:sz w:val="22"/>
        </w:rPr>
        <w:t xml:space="preserve">Validaciones: </w:t>
      </w:r>
      <w:r>
        <w:rPr>
          <w:rFonts w:ascii="Calibri" w:hAnsi="Calibri"/>
          <w:b w:val="0"/>
          <w:i w:val="0"/>
          <w:color w:val="243746"/>
          <w:sz w:val="22"/>
        </w:rPr>
        <w:t>Producto igual o distinto del original, BOX de reemplazo válido y cantidad positiva.</w:t>
      </w:r>
    </w:p>
    <w:p>
      <w:pPr>
        <w:spacing w:after="100"/>
      </w:pPr>
      <w:r>
        <w:rPr>
          <w:rFonts w:ascii="Calibri" w:hAnsi="Calibri"/>
          <w:b/>
          <w:i w:val="0"/>
          <w:color w:val="304E6B"/>
          <w:sz w:val="22"/>
        </w:rPr>
        <w:t xml:space="preserve">Contrato: </w:t>
      </w:r>
      <w:r>
        <w:rPr>
          <w:rFonts w:ascii="Calibri" w:hAnsi="Calibri"/>
          <w:b w:val="0"/>
          <w:i w:val="0"/>
          <w:color w:val="243746"/>
          <w:sz w:val="22"/>
        </w:rPr>
        <w:t>Tres propiedades nuevas en los DTO y mapeo a ambos SP de carga.</w:t>
      </w:r>
    </w:p>
    <w:p>
      <w:pPr>
        <w:spacing w:after="100"/>
      </w:pPr>
      <w:r>
        <w:rPr>
          <w:rFonts w:ascii="Calibri" w:hAnsi="Calibri"/>
          <w:b/>
          <w:i w:val="0"/>
          <w:color w:val="304E6B"/>
          <w:sz w:val="22"/>
        </w:rPr>
        <w:t xml:space="preserve">Cantidades: </w:t>
      </w:r>
      <w:r>
        <w:rPr>
          <w:rFonts w:ascii="Calibri" w:hAnsi="Calibri"/>
          <w:b w:val="0"/>
          <w:i w:val="0"/>
          <w:color w:val="243746"/>
          <w:sz w:val="22"/>
        </w:rPr>
        <w:t>up_id = '07' sin decimales; restantes con tres decimales.</w:t>
      </w:r>
    </w:p>
    <w:p>
      <w:pPr>
        <w:pStyle w:val="Heading1"/>
      </w:pPr>
      <w:r>
        <w:t>6. Verificación realizada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304E6B"/>
                <w:sz w:val="22"/>
              </w:rPr>
              <w:t>Componente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304E6B"/>
                <w:sz w:val="22"/>
              </w:rPr>
              <w:t>Resultado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304E6B"/>
                <w:sz w:val="22"/>
              </w:rPr>
              <w:t>Pocket + API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746"/>
                <w:sz w:val="22"/>
              </w:rPr>
              <w:t>Ambos proyectos compilaron correctamente; 0 errores.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304E6B"/>
                <w:sz w:val="22"/>
              </w:rPr>
              <w:t>Compatibilidad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746"/>
                <w:sz w:val="22"/>
              </w:rPr>
              <w:t>La carga normal conserva el comportamiento y los parámetros previos.</w:t>
            </w:r>
          </w:p>
        </w:tc>
      </w:tr>
    </w:tbl>
    <w:p>
      <w:pPr>
        <w:spacing w:before="100" w:after="0"/>
      </w:pPr>
      <w:r>
        <w:rPr>
          <w:rFonts w:ascii="Calibri" w:hAnsi="Calibri"/>
          <w:b/>
          <w:i w:val="0"/>
          <w:color w:val="D29B00"/>
          <w:sz w:val="18"/>
        </w:rPr>
        <w:t xml:space="preserve">Dependencia operativa: </w:t>
      </w:r>
      <w:r>
        <w:rPr>
          <w:rFonts w:ascii="Calibri" w:hAnsi="Calibri"/>
          <w:b w:val="0"/>
          <w:i w:val="0"/>
          <w:color w:val="243746"/>
          <w:sz w:val="18"/>
        </w:rPr>
        <w:t>los SP de listado de TR y OR deben devolver up_id para aplicar el formato solicitado.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785"/>
        <w:sz w:val="18"/>
      </w:rPr>
      <w:t xml:space="preserve">GECO Pocket  •  Página </w:t>
    </w:r>
    <w:r>
      <w:rPr>
        <w:rFonts w:ascii="Calibri" w:hAnsi="Calibri"/>
        <w:b w:val="0"/>
        <w:i w:val="0"/>
        <w:color w:val="66778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67785"/>
        <w:sz w:val="18"/>
      </w:rPr>
      <w:t>GECO Pocket  |  Implementación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Implementación y validación DBA del reemplazo de productos en Pocket</dc:subject>
  <dc:creator>python-docx</dc:creator>
  <cp:keywords/>
  <dc:description>Incluye secuencia técnica de seis pasos y consulta sobre SPGECO_TR_Lista_Productos.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