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19 Октября 2024</w:t>
      </w:r>
    </w:p>
    <w:bookmarkStart w:id="27" w:name="отчет-по-лабораторной-работе-7"/>
    <w:p>
      <w:pPr>
        <w:pStyle w:val="Heading1"/>
      </w:pPr>
      <w:r>
        <w:t xml:space="preserve">Отчет по лабораторной работе №7</w:t>
      </w:r>
    </w:p>
    <w:bookmarkStart w:id="20" w:name="section"/>
    <w:p>
      <w:pPr>
        <w:pStyle w:val="Heading2"/>
      </w:pPr>
    </w:p>
    <w:p>
      <w:pPr>
        <w:pStyle w:val="FirstParagraph"/>
      </w:pPr>
      <w:r>
        <w:t xml:space="preserve">Цель работы: Освоить на практике применение режима однократного гаммирования.</w:t>
      </w:r>
    </w:p>
    <w:bookmarkEnd w:id="20"/>
    <w:bookmarkStart w:id="21" w:name="section-1"/>
    <w:p>
      <w:pPr>
        <w:pStyle w:val="Heading2"/>
      </w:pPr>
    </w:p>
    <w:p>
      <w:pPr>
        <w:pStyle w:val="FirstParagraph"/>
      </w:pPr>
      <w:r>
        <w:t xml:space="preserve">Теоретическое введение</w:t>
      </w:r>
    </w:p>
    <w:p>
      <w:pPr>
        <w:pStyle w:val="BodyText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p>
      <w:pPr>
        <w:pStyle w:val="BodyText"/>
      </w:pPr>
      <w:r>
        <w:t xml:space="preserve">Более подробно см. в [1].</w:t>
      </w:r>
    </w:p>
    <w:bookmarkEnd w:id="21"/>
    <w:bookmarkStart w:id="25" w:name="section-2"/>
    <w:p>
      <w:pPr>
        <w:pStyle w:val="Heading2"/>
      </w:pPr>
    </w:p>
    <w:p>
      <w:pPr>
        <w:pStyle w:val="FirstParagraph"/>
      </w:pPr>
      <w:r>
        <w:t xml:space="preserve">Код программы.</w:t>
      </w:r>
    </w:p>
    <w:p>
      <w:pPr>
        <w:pStyle w:val="CaptionedFigure"/>
      </w:pPr>
      <w:r>
        <w:drawing>
          <wp:inline>
            <wp:extent cx="3733800" cy="3708684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bookmarkEnd w:id="25"/>
    <w:bookmarkStart w:id="26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освоил на практике применение режима однократного гаммирования.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Георгес Гедеон</dc:creator>
  <dc:language>ru-RU</dc:language>
  <cp:keywords/>
  <dcterms:created xsi:type="dcterms:W3CDTF">2024-10-15T21:03:56Z</dcterms:created>
  <dcterms:modified xsi:type="dcterms:W3CDTF">2024-10-15T21:03:56Z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19 Октября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