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37CF8" w14:textId="77777777" w:rsidR="005E1A44" w:rsidRDefault="002B61C3">
      <w:pPr>
        <w:pStyle w:val="Title"/>
      </w:pPr>
      <w:r>
        <w:t>Analisis Koleksem Khas dan potensinya untuk kajian sinonim konstruksional di Bahasa Indonesia</w:t>
      </w:r>
    </w:p>
    <w:p w14:paraId="0C4DD7BD" w14:textId="77777777" w:rsidR="005E1A44" w:rsidRDefault="002B61C3">
      <w:pPr>
        <w:pStyle w:val="Author"/>
      </w:pPr>
      <w:r>
        <w:t>Gede Primahadi Wijaya Rajeg &amp; I Made Rajeg</w:t>
      </w:r>
    </w:p>
    <w:p w14:paraId="215A367F" w14:textId="77777777" w:rsidR="005E1A44" w:rsidRDefault="002B61C3">
      <w:pPr>
        <w:pStyle w:val="Heading1"/>
      </w:pPr>
      <w:bookmarkStart w:id="0" w:name="intro"/>
      <w:bookmarkEnd w:id="0"/>
      <w:r>
        <w:t>Pengantar</w:t>
      </w:r>
    </w:p>
    <w:p w14:paraId="1CE95F86" w14:textId="77777777" w:rsidR="005E1A44" w:rsidRDefault="002B61C3">
      <w:pPr>
        <w:pStyle w:val="FirstParagraph"/>
      </w:pPr>
      <w:r>
        <w:t>This is a first paragraph.</w:t>
      </w:r>
    </w:p>
    <w:p w14:paraId="40026784" w14:textId="77777777" w:rsidR="005E1A44" w:rsidRDefault="002B61C3">
      <w:pPr>
        <w:pStyle w:val="BodyText"/>
      </w:pPr>
      <w:r>
        <w:t>Body texts go here.</w:t>
      </w:r>
    </w:p>
    <w:p w14:paraId="374A0E41" w14:textId="77777777" w:rsidR="005E1A44" w:rsidRDefault="002B61C3" w:rsidP="00141404">
      <w:pPr>
        <w:pStyle w:val="Heading1"/>
      </w:pPr>
      <w:bookmarkStart w:id="1" w:name="datametode"/>
      <w:bookmarkEnd w:id="1"/>
      <w:r>
        <w:t>Data dan metodologi</w:t>
      </w:r>
    </w:p>
    <w:p w14:paraId="2F11A6EF" w14:textId="77777777" w:rsidR="005E1A44" w:rsidRDefault="002B61C3">
      <w:pPr>
        <w:pStyle w:val="Heading2"/>
      </w:pPr>
      <w:bookmarkStart w:id="2" w:name="data"/>
      <w:bookmarkEnd w:id="2"/>
      <w:r>
        <w:t>Berkas korpus dan pencarian kolokasi</w:t>
      </w:r>
    </w:p>
    <w:p w14:paraId="533DF810" w14:textId="77777777" w:rsidR="005E1A44" w:rsidRDefault="002B61C3">
      <w:pPr>
        <w:pStyle w:val="FirstParagraph"/>
      </w:pPr>
      <w:r>
        <w:t xml:space="preserve">Makalah ini menggunakan lima berkas korpus (lihat </w:t>
      </w:r>
      <w:hyperlink w:anchor="corpus-text-size">
        <w:r>
          <w:rPr>
            <w:rStyle w:val="Hyperlink"/>
          </w:rPr>
          <w:t>Tabel 1</w:t>
        </w:r>
      </w:hyperlink>
      <w:r>
        <w:t xml:space="preserve">) yang menjadi bagian dari Korpus Leipzig Bahasa Indonesia (Biemann, Heyer, Quasthoff, &amp; Richter, </w:t>
      </w:r>
      <w:hyperlink w:anchor="ref-biemann_leipzig_2007">
        <w:r>
          <w:rPr>
            <w:rStyle w:val="Hyperlink"/>
          </w:rPr>
          <w:t>2007</w:t>
        </w:r>
      </w:hyperlink>
      <w:r>
        <w:t xml:space="preserve">; Quasthoff &amp; Goldhahn, </w:t>
      </w:r>
      <w:hyperlink w:anchor="ref-quasthoff_indonesian_2013">
        <w:r>
          <w:rPr>
            <w:rStyle w:val="Hyperlink"/>
          </w:rPr>
          <w:t>2013</w:t>
        </w:r>
      </w:hyperlink>
      <w:r>
        <w:t>). Jumlah keseluruhan kata untuk kelima korpus ini adalah sekitar 29,343,544 juta kata.</w:t>
      </w:r>
    </w:p>
    <w:p w14:paraId="0B626478" w14:textId="77777777" w:rsidR="005E1A44" w:rsidRPr="00C10F02" w:rsidRDefault="002B61C3">
      <w:pPr>
        <w:pStyle w:val="TableCaption"/>
        <w:rPr>
          <w:lang w:val="de-DE"/>
        </w:rPr>
      </w:pPr>
      <w:r w:rsidRPr="00C10F02">
        <w:rPr>
          <w:lang w:val="de-DE"/>
        </w:rPr>
        <w:t>Tabel 1 Berkas korpus Leipzig yang digunakan beserta ukurannya.</w:t>
      </w:r>
    </w:p>
    <w:tbl>
      <w:tblPr>
        <w:tblW w:w="0" w:type="pct"/>
        <w:tblLook w:val="07E0" w:firstRow="1" w:lastRow="1" w:firstColumn="1" w:lastColumn="1" w:noHBand="1" w:noVBand="1"/>
        <w:tblCaption w:val="Tabel 1 Berkas korpus Leipzig yang digunakan beserta ukurannya."/>
      </w:tblPr>
      <w:tblGrid>
        <w:gridCol w:w="3703"/>
        <w:gridCol w:w="2149"/>
      </w:tblGrid>
      <w:tr w:rsidR="005E1A44" w14:paraId="2A31FC89" w14:textId="77777777">
        <w:tc>
          <w:tcPr>
            <w:tcW w:w="0" w:type="auto"/>
            <w:tcBorders>
              <w:bottom w:val="single" w:sz="0" w:space="0" w:color="auto"/>
            </w:tcBorders>
            <w:vAlign w:val="bottom"/>
          </w:tcPr>
          <w:p w14:paraId="58B4FD39" w14:textId="77777777" w:rsidR="005E1A44" w:rsidRDefault="002B61C3">
            <w:pPr>
              <w:pStyle w:val="Compact"/>
            </w:pPr>
            <w:r>
              <w:t>Berkas korpus</w:t>
            </w:r>
          </w:p>
        </w:tc>
        <w:tc>
          <w:tcPr>
            <w:tcW w:w="0" w:type="auto"/>
            <w:tcBorders>
              <w:bottom w:val="single" w:sz="0" w:space="0" w:color="auto"/>
            </w:tcBorders>
            <w:vAlign w:val="bottom"/>
          </w:tcPr>
          <w:p w14:paraId="3263654D" w14:textId="77777777" w:rsidR="005E1A44" w:rsidRDefault="002B61C3">
            <w:pPr>
              <w:pStyle w:val="Compact"/>
            </w:pPr>
            <w:r>
              <w:t>Ukuran (token kata)</w:t>
            </w:r>
          </w:p>
        </w:tc>
      </w:tr>
      <w:tr w:rsidR="005E1A44" w14:paraId="0444A1F8" w14:textId="77777777">
        <w:tc>
          <w:tcPr>
            <w:tcW w:w="0" w:type="auto"/>
          </w:tcPr>
          <w:p w14:paraId="5AB1EB22" w14:textId="77777777" w:rsidR="005E1A44" w:rsidRDefault="002B61C3">
            <w:pPr>
              <w:pStyle w:val="Compact"/>
            </w:pPr>
            <w:r>
              <w:t>ind_news_2008_300K-sentences.txt</w:t>
            </w:r>
          </w:p>
        </w:tc>
        <w:tc>
          <w:tcPr>
            <w:tcW w:w="0" w:type="auto"/>
          </w:tcPr>
          <w:p w14:paraId="76966F9C" w14:textId="77777777" w:rsidR="005E1A44" w:rsidRDefault="002B61C3">
            <w:pPr>
              <w:pStyle w:val="Compact"/>
            </w:pPr>
            <w:r>
              <w:t>5,875,376</w:t>
            </w:r>
          </w:p>
        </w:tc>
      </w:tr>
      <w:tr w:rsidR="005E1A44" w14:paraId="456CDE84" w14:textId="77777777">
        <w:tc>
          <w:tcPr>
            <w:tcW w:w="0" w:type="auto"/>
          </w:tcPr>
          <w:p w14:paraId="580668F4" w14:textId="77777777" w:rsidR="005E1A44" w:rsidRDefault="002B61C3">
            <w:pPr>
              <w:pStyle w:val="Compact"/>
            </w:pPr>
            <w:r>
              <w:t>ind_news_2009_300K-sentences.txt</w:t>
            </w:r>
          </w:p>
        </w:tc>
        <w:tc>
          <w:tcPr>
            <w:tcW w:w="0" w:type="auto"/>
          </w:tcPr>
          <w:p w14:paraId="08F54BE2" w14:textId="77777777" w:rsidR="005E1A44" w:rsidRDefault="002B61C3">
            <w:pPr>
              <w:pStyle w:val="Compact"/>
            </w:pPr>
            <w:r>
              <w:t>5,868,276</w:t>
            </w:r>
          </w:p>
        </w:tc>
      </w:tr>
      <w:tr w:rsidR="005E1A44" w14:paraId="73AF3447" w14:textId="77777777">
        <w:tc>
          <w:tcPr>
            <w:tcW w:w="0" w:type="auto"/>
          </w:tcPr>
          <w:p w14:paraId="7CA13761" w14:textId="77777777" w:rsidR="005E1A44" w:rsidRDefault="002B61C3">
            <w:pPr>
              <w:pStyle w:val="Compact"/>
            </w:pPr>
            <w:r>
              <w:t>ind_news_2010_300K-sentences.txt</w:t>
            </w:r>
          </w:p>
        </w:tc>
        <w:tc>
          <w:tcPr>
            <w:tcW w:w="0" w:type="auto"/>
          </w:tcPr>
          <w:p w14:paraId="4FD684BD" w14:textId="77777777" w:rsidR="005E1A44" w:rsidRDefault="002B61C3">
            <w:pPr>
              <w:pStyle w:val="Compact"/>
            </w:pPr>
            <w:r>
              <w:t>5,874,158</w:t>
            </w:r>
          </w:p>
        </w:tc>
      </w:tr>
      <w:tr w:rsidR="005E1A44" w14:paraId="1A355360" w14:textId="77777777">
        <w:tc>
          <w:tcPr>
            <w:tcW w:w="0" w:type="auto"/>
          </w:tcPr>
          <w:p w14:paraId="23757E08" w14:textId="77777777" w:rsidR="005E1A44" w:rsidRDefault="002B61C3">
            <w:pPr>
              <w:pStyle w:val="Compact"/>
            </w:pPr>
            <w:r>
              <w:t>ind_news_2011_300K-sentences.txt</w:t>
            </w:r>
          </w:p>
        </w:tc>
        <w:tc>
          <w:tcPr>
            <w:tcW w:w="0" w:type="auto"/>
          </w:tcPr>
          <w:p w14:paraId="6D70C4A8" w14:textId="77777777" w:rsidR="005E1A44" w:rsidRDefault="002B61C3">
            <w:pPr>
              <w:pStyle w:val="Compact"/>
            </w:pPr>
            <w:r>
              <w:t>5,852,211</w:t>
            </w:r>
          </w:p>
        </w:tc>
      </w:tr>
      <w:tr w:rsidR="005E1A44" w14:paraId="7C09E00A" w14:textId="77777777">
        <w:tc>
          <w:tcPr>
            <w:tcW w:w="0" w:type="auto"/>
          </w:tcPr>
          <w:p w14:paraId="0ACC448C" w14:textId="77777777" w:rsidR="005E1A44" w:rsidRDefault="002B61C3">
            <w:pPr>
              <w:pStyle w:val="Compact"/>
            </w:pPr>
            <w:r>
              <w:t>ind_news_2012_300K-sentences.txt</w:t>
            </w:r>
          </w:p>
        </w:tc>
        <w:tc>
          <w:tcPr>
            <w:tcW w:w="0" w:type="auto"/>
          </w:tcPr>
          <w:p w14:paraId="596E6AF3" w14:textId="77777777" w:rsidR="005E1A44" w:rsidRDefault="002B61C3">
            <w:pPr>
              <w:pStyle w:val="Compact"/>
            </w:pPr>
            <w:r>
              <w:t>5,873,523</w:t>
            </w:r>
          </w:p>
        </w:tc>
      </w:tr>
    </w:tbl>
    <w:p w14:paraId="21E4D1D3" w14:textId="77777777" w:rsidR="005E1A44" w:rsidRDefault="002B61C3">
      <w:pPr>
        <w:pStyle w:val="BodyText"/>
      </w:pPr>
      <w:r>
        <w:t xml:space="preserve">Dengan menggunakan fungsi </w:t>
      </w:r>
      <w:r>
        <w:rPr>
          <w:rStyle w:val="VerbatimChar"/>
        </w:rPr>
        <w:t>colloc_leipzig()</w:t>
      </w:r>
      <w:r>
        <w:t>, yang terdapat dalam modul (</w:t>
      </w:r>
      <w:r>
        <w:rPr>
          <w:i/>
        </w:rPr>
        <w:t>package</w:t>
      </w:r>
      <w:r>
        <w:t xml:space="preserve">) R </w:t>
      </w:r>
      <w:r>
        <w:rPr>
          <w:rStyle w:val="VerbatimChar"/>
        </w:rPr>
        <w:t>collogetr</w:t>
      </w:r>
      <w:r>
        <w:t xml:space="preserve"> (G. P. W. Rajeg, </w:t>
      </w:r>
      <w:hyperlink w:anchor="ref-rajeg_collogetr_2018">
        <w:r>
          <w:rPr>
            <w:rStyle w:val="Hyperlink"/>
          </w:rPr>
          <w:t>2018</w:t>
        </w:r>
      </w:hyperlink>
      <w:hyperlink w:anchor="ref-rajeg_collogetr_2018">
        <w:r>
          <w:rPr>
            <w:rStyle w:val="Hyperlink"/>
          </w:rPr>
          <w:t>a</w:t>
        </w:r>
      </w:hyperlink>
      <w:r>
        <w:t xml:space="preserve">), pencarian kolokasi </w:t>
      </w:r>
      <w:r>
        <w:rPr>
          <w:i/>
        </w:rPr>
        <w:t>membesarkan</w:t>
      </w:r>
      <w:r>
        <w:t xml:space="preserve"> dan </w:t>
      </w:r>
      <w:r>
        <w:rPr>
          <w:i/>
        </w:rPr>
        <w:t>memperbesar</w:t>
      </w:r>
      <w:r>
        <w:t xml:space="preserve"> dibatasi pada lingkup satu kata di sebelah kanan kedua verba tersebut (atau disebut dengan kolokat R1). Pilihan ini dilandasi atas dua asumsi. Pertama, satu kata yang tepat mengikuti verba transitif tersebut diasumsikan sebagai objek langsungnya. Kedua, objek langsung yang secara kuantitatif (§</w:t>
      </w:r>
      <w:hyperlink w:anchor="dcaintro">
        <w:r>
          <w:rPr>
            <w:rStyle w:val="Hyperlink"/>
          </w:rPr>
          <w:t>2.2</w:t>
        </w:r>
      </w:hyperlink>
      <w:r>
        <w:t>) khas mengikuti verba tersebut dipandang sebagai salah satu cara mencirikan perbedaan semantis kedua verba tersebut.</w:t>
      </w:r>
    </w:p>
    <w:p w14:paraId="62525E99" w14:textId="77777777" w:rsidR="005E1A44" w:rsidRPr="00C10F02" w:rsidRDefault="002B61C3">
      <w:pPr>
        <w:pStyle w:val="Heading2"/>
        <w:rPr>
          <w:lang w:val="de-DE"/>
        </w:rPr>
      </w:pPr>
      <w:bookmarkStart w:id="3" w:name="dcaintro"/>
      <w:bookmarkEnd w:id="3"/>
      <w:r w:rsidRPr="00C10F02">
        <w:rPr>
          <w:lang w:val="de-DE"/>
        </w:rPr>
        <w:t>Pengenalan ringkas terhadap Analisis Koleksem Khas</w:t>
      </w:r>
    </w:p>
    <w:p w14:paraId="0D03F059" w14:textId="77777777" w:rsidR="005E1A44" w:rsidRPr="00C10F02" w:rsidRDefault="002B61C3">
      <w:pPr>
        <w:pStyle w:val="FirstParagraph"/>
        <w:rPr>
          <w:lang w:val="de-DE"/>
        </w:rPr>
      </w:pPr>
      <w:r w:rsidRPr="00C10F02">
        <w:rPr>
          <w:lang w:val="de-DE"/>
        </w:rPr>
        <w:t xml:space="preserve">Analisis Koleksem Khas (atau </w:t>
      </w:r>
      <w:r w:rsidRPr="00C10F02">
        <w:rPr>
          <w:i/>
          <w:lang w:val="de-DE"/>
        </w:rPr>
        <w:t>Distinctive Collexeme Analysis</w:t>
      </w:r>
      <w:r w:rsidRPr="00C10F02">
        <w:rPr>
          <w:lang w:val="de-DE"/>
        </w:rPr>
        <w:t xml:space="preserve">; selanjutnya disingkat DCA) (Gries &amp; Stefanowitsch, </w:t>
      </w:r>
      <w:hyperlink w:anchor="ref-gries_extending_2004">
        <w:r w:rsidRPr="00C10F02">
          <w:rPr>
            <w:rStyle w:val="Hyperlink"/>
            <w:lang w:val="de-DE"/>
          </w:rPr>
          <w:t>2004</w:t>
        </w:r>
      </w:hyperlink>
      <w:r w:rsidRPr="00C10F02">
        <w:rPr>
          <w:lang w:val="de-DE"/>
        </w:rPr>
        <w:t>) merupakan salah satu ragam dari gugusan metode linguistik korpus kuantitatif yang disebut Analisis Kolostruksional (</w:t>
      </w:r>
      <w:r w:rsidRPr="00C10F02">
        <w:rPr>
          <w:i/>
          <w:lang w:val="de-DE"/>
        </w:rPr>
        <w:t>Collostructional Analysis</w:t>
      </w:r>
      <w:r>
        <w:rPr>
          <w:rStyle w:val="FootnoteReference"/>
        </w:rPr>
        <w:footnoteReference w:id="1"/>
      </w:r>
      <w:r w:rsidRPr="00C10F02">
        <w:rPr>
          <w:lang w:val="de-DE"/>
        </w:rPr>
        <w:t xml:space="preserve">, selanjutnya CA) (Hilpert, </w:t>
      </w:r>
      <w:hyperlink w:anchor="ref-glynn_collostructional_2014">
        <w:r w:rsidRPr="00C10F02">
          <w:rPr>
            <w:rStyle w:val="Hyperlink"/>
            <w:lang w:val="de-DE"/>
          </w:rPr>
          <w:t>2014</w:t>
        </w:r>
      </w:hyperlink>
      <w:r w:rsidRPr="00C10F02">
        <w:rPr>
          <w:lang w:val="de-DE"/>
        </w:rPr>
        <w:t xml:space="preserve">; Stefanowitsch, </w:t>
      </w:r>
      <w:hyperlink w:anchor="ref-hoffmann_collostructional_2013">
        <w:r w:rsidRPr="00C10F02">
          <w:rPr>
            <w:rStyle w:val="Hyperlink"/>
            <w:lang w:val="de-DE"/>
          </w:rPr>
          <w:t>2013</w:t>
        </w:r>
      </w:hyperlink>
      <w:r w:rsidRPr="00C10F02">
        <w:rPr>
          <w:lang w:val="de-DE"/>
        </w:rPr>
        <w:t xml:space="preserve">; Stefanowitsch &amp; Gries, </w:t>
      </w:r>
      <w:hyperlink w:anchor="ref-stefanowitsch_collostructions_2003">
        <w:r w:rsidRPr="00C10F02">
          <w:rPr>
            <w:rStyle w:val="Hyperlink"/>
            <w:lang w:val="de-DE"/>
          </w:rPr>
          <w:t>2003</w:t>
        </w:r>
      </w:hyperlink>
      <w:r w:rsidRPr="00C10F02">
        <w:rPr>
          <w:lang w:val="de-DE"/>
        </w:rPr>
        <w:t xml:space="preserve">, </w:t>
      </w:r>
      <w:hyperlink w:anchor="ref-stefanowitsch_corpora_2009">
        <w:r w:rsidRPr="00C10F02">
          <w:rPr>
            <w:rStyle w:val="Hyperlink"/>
            <w:lang w:val="de-DE"/>
          </w:rPr>
          <w:t>2009</w:t>
        </w:r>
      </w:hyperlink>
      <w:r w:rsidRPr="00C10F02">
        <w:rPr>
          <w:lang w:val="de-DE"/>
        </w:rPr>
        <w:t xml:space="preserve">). DCA dikembangkan untuk mengkaji perbedaan semantis dua konstruksi, yang mirip secara semantis/fungsional, berdasarkan unsur leksikal (disebut </w:t>
      </w:r>
      <w:r w:rsidRPr="00C10F02">
        <w:rPr>
          <w:b/>
          <w:lang w:val="de-DE"/>
        </w:rPr>
        <w:t>koleksem</w:t>
      </w:r>
      <w:r w:rsidRPr="00C10F02">
        <w:rPr>
          <w:lang w:val="de-DE"/>
        </w:rPr>
        <w:t xml:space="preserve">) yang memiliki keterkaitan khas secara statistik terhadap satu dari kedua konstruksi tersebut. Sebagai contoh, DCA dapat digunakan membedakan konstruksi Datif Preposisional dengan Ditransitif; konstruksi </w:t>
      </w:r>
      <w:r w:rsidRPr="00C10F02">
        <w:rPr>
          <w:i/>
          <w:lang w:val="de-DE"/>
        </w:rPr>
        <w:t>Will + infinitive</w:t>
      </w:r>
      <w:r w:rsidRPr="00C10F02">
        <w:rPr>
          <w:lang w:val="de-DE"/>
        </w:rPr>
        <w:t xml:space="preserve"> dengan </w:t>
      </w:r>
      <w:r w:rsidRPr="00C10F02">
        <w:rPr>
          <w:i/>
          <w:lang w:val="de-DE"/>
        </w:rPr>
        <w:t>be going to + infinitive</w:t>
      </w:r>
      <w:r w:rsidRPr="00C10F02">
        <w:rPr>
          <w:lang w:val="de-DE"/>
        </w:rPr>
        <w:t xml:space="preserve">; konstruksi Aktif dengan Pasif (periksa Gries &amp; Stefanowitsch, </w:t>
      </w:r>
      <w:hyperlink w:anchor="ref-gries_extending_2004">
        <w:r w:rsidRPr="00C10F02">
          <w:rPr>
            <w:rStyle w:val="Hyperlink"/>
            <w:lang w:val="de-DE"/>
          </w:rPr>
          <w:t>2004</w:t>
        </w:r>
      </w:hyperlink>
      <w:r w:rsidRPr="00C10F02">
        <w:rPr>
          <w:lang w:val="de-DE"/>
        </w:rPr>
        <w:t xml:space="preserve"> untuk ulasan mendalam).</w:t>
      </w:r>
    </w:p>
    <w:p w14:paraId="6B2834DC" w14:textId="77777777" w:rsidR="005E1A44" w:rsidRPr="00C10F02" w:rsidRDefault="002B61C3">
      <w:pPr>
        <w:pStyle w:val="BodyText"/>
        <w:rPr>
          <w:lang w:val="de-DE"/>
        </w:rPr>
      </w:pPr>
      <w:r w:rsidRPr="00C10F02">
        <w:rPr>
          <w:lang w:val="de-DE"/>
        </w:rPr>
        <w:t>Makalah ini bertujuan melihat potensi DCA untuk menemukan perbedaan pemakaian sepasang kata pencontohan dua konstruksi kausatif morfologis pada BI, yaitu [</w:t>
      </w:r>
      <w:r w:rsidRPr="00C10F02">
        <w:rPr>
          <w:i/>
          <w:lang w:val="de-DE"/>
        </w:rPr>
        <w:t>AJEKTIVA + -kan</w:t>
      </w:r>
      <w:r w:rsidRPr="00C10F02">
        <w:rPr>
          <w:lang w:val="de-DE"/>
        </w:rPr>
        <w:t>] dan [</w:t>
      </w:r>
      <w:r w:rsidRPr="00C10F02">
        <w:rPr>
          <w:i/>
          <w:lang w:val="de-DE"/>
        </w:rPr>
        <w:t>per- + AJEKTIVA</w:t>
      </w:r>
      <w:r w:rsidRPr="00C10F02">
        <w:rPr>
          <w:lang w:val="de-DE"/>
        </w:rPr>
        <w:t>], yang perbedaan maknanya tidak terlalu diperhatikan oleh kebanyakan penutur BI (periksa §</w:t>
      </w:r>
      <w:bookmarkStart w:id="4" w:name="_GoBack"/>
      <w:r w:rsidR="00AF769E">
        <w:rPr>
          <w:rStyle w:val="Hyperlink"/>
          <w:lang w:val="de-DE"/>
        </w:rPr>
        <w:fldChar w:fldCharType="begin"/>
      </w:r>
      <w:r w:rsidR="00AF769E">
        <w:rPr>
          <w:rStyle w:val="Hyperlink"/>
          <w:lang w:val="de-DE"/>
        </w:rPr>
        <w:instrText xml:space="preserve"> HYPERLINK \l "intro" \h </w:instrText>
      </w:r>
      <w:r w:rsidR="00AF769E">
        <w:rPr>
          <w:rStyle w:val="Hyperlink"/>
          <w:lang w:val="de-DE"/>
        </w:rPr>
        <w:fldChar w:fldCharType="separate"/>
      </w:r>
      <w:r w:rsidRPr="00C10F02">
        <w:rPr>
          <w:rStyle w:val="Hyperlink"/>
          <w:lang w:val="de-DE"/>
        </w:rPr>
        <w:t>1</w:t>
      </w:r>
      <w:r w:rsidR="00AF769E">
        <w:rPr>
          <w:rStyle w:val="Hyperlink"/>
          <w:lang w:val="de-DE"/>
        </w:rPr>
        <w:fldChar w:fldCharType="end"/>
      </w:r>
      <w:bookmarkEnd w:id="4"/>
      <w:r w:rsidRPr="00C10F02">
        <w:rPr>
          <w:lang w:val="de-DE"/>
        </w:rPr>
        <w:t xml:space="preserve">). Analisis statistik dalam DCA didasari atas tabulasi kekerapan dua dimensi seperti pada </w:t>
      </w:r>
      <w:hyperlink w:anchor="xtab">
        <w:r w:rsidRPr="00C10F02">
          <w:rPr>
            <w:rStyle w:val="Hyperlink"/>
            <w:lang w:val="de-DE"/>
          </w:rPr>
          <w:t>Tabel 2</w:t>
        </w:r>
      </w:hyperlink>
      <w:r w:rsidRPr="00C10F02">
        <w:rPr>
          <w:lang w:val="de-DE"/>
        </w:rPr>
        <w:t xml:space="preserve">] yang mencontohkan distribusi nomina </w:t>
      </w:r>
      <w:r w:rsidRPr="00C10F02">
        <w:rPr>
          <w:i/>
          <w:lang w:val="de-DE"/>
        </w:rPr>
        <w:t>jumlah</w:t>
      </w:r>
      <w:r w:rsidRPr="00C10F02">
        <w:rPr>
          <w:lang w:val="de-DE"/>
        </w:rPr>
        <w:t xml:space="preserve"> sebagai kolokat R1 untuk </w:t>
      </w:r>
      <w:r w:rsidRPr="00C10F02">
        <w:rPr>
          <w:i/>
          <w:lang w:val="de-DE"/>
        </w:rPr>
        <w:t>memperbesar</w:t>
      </w:r>
      <w:r w:rsidRPr="00C10F02">
        <w:rPr>
          <w:lang w:val="de-DE"/>
        </w:rPr>
        <w:t xml:space="preserve"> dan </w:t>
      </w:r>
      <w:r w:rsidRPr="00C10F02">
        <w:rPr>
          <w:i/>
          <w:lang w:val="de-DE"/>
        </w:rPr>
        <w:t>membesarkan</w:t>
      </w:r>
      <w:r w:rsidRPr="00C10F02">
        <w:rPr>
          <w:lang w:val="de-DE"/>
        </w:rPr>
        <w:t xml:space="preserve"> dalam kelima berkas korpus pada </w:t>
      </w:r>
      <w:hyperlink w:anchor="corpus-text-size">
        <w:r w:rsidRPr="00C10F02">
          <w:rPr>
            <w:rStyle w:val="Hyperlink"/>
            <w:lang w:val="de-DE"/>
          </w:rPr>
          <w:t>Tabel 1</w:t>
        </w:r>
      </w:hyperlink>
      <w:r w:rsidRPr="00C10F02">
        <w:rPr>
          <w:lang w:val="de-DE"/>
        </w:rPr>
        <w:t>.</w:t>
      </w:r>
    </w:p>
    <w:p w14:paraId="0080D469" w14:textId="77777777" w:rsidR="005E1A44" w:rsidRPr="00C10F02" w:rsidRDefault="002B61C3">
      <w:pPr>
        <w:pStyle w:val="TableCaption"/>
        <w:rPr>
          <w:lang w:val="de-DE"/>
        </w:rPr>
      </w:pPr>
      <w:r w:rsidRPr="00C10F02">
        <w:rPr>
          <w:lang w:val="de-DE"/>
        </w:rPr>
        <w:t>Tabel 2 Tabulasi silang sebagai masukan DCA</w:t>
      </w:r>
    </w:p>
    <w:tbl>
      <w:tblPr>
        <w:tblW w:w="0" w:type="pct"/>
        <w:tblLook w:val="07E0" w:firstRow="1" w:lastRow="1" w:firstColumn="1" w:lastColumn="1" w:noHBand="1" w:noVBand="1"/>
        <w:tblCaption w:val="Tabel 2 Tabulasi silang sebagai masukan DCA"/>
      </w:tblPr>
      <w:tblGrid>
        <w:gridCol w:w="1045"/>
        <w:gridCol w:w="1523"/>
        <w:gridCol w:w="1550"/>
        <w:gridCol w:w="723"/>
      </w:tblGrid>
      <w:tr w:rsidR="005E1A44" w14:paraId="7AFF9C89" w14:textId="77777777">
        <w:tc>
          <w:tcPr>
            <w:tcW w:w="0" w:type="auto"/>
            <w:tcBorders>
              <w:bottom w:val="single" w:sz="0" w:space="0" w:color="auto"/>
            </w:tcBorders>
            <w:vAlign w:val="bottom"/>
          </w:tcPr>
          <w:p w14:paraId="6961769D" w14:textId="77777777" w:rsidR="005E1A44" w:rsidRPr="00C10F02" w:rsidRDefault="005E1A44">
            <w:pPr>
              <w:pStyle w:val="Compact"/>
              <w:rPr>
                <w:lang w:val="de-DE"/>
              </w:rPr>
            </w:pPr>
          </w:p>
        </w:tc>
        <w:tc>
          <w:tcPr>
            <w:tcW w:w="0" w:type="auto"/>
            <w:tcBorders>
              <w:bottom w:val="single" w:sz="0" w:space="0" w:color="auto"/>
            </w:tcBorders>
            <w:vAlign w:val="bottom"/>
          </w:tcPr>
          <w:p w14:paraId="5B106743" w14:textId="77777777" w:rsidR="005E1A44" w:rsidRDefault="002B61C3">
            <w:pPr>
              <w:pStyle w:val="Compact"/>
            </w:pPr>
            <w:r>
              <w:rPr>
                <w:i/>
              </w:rPr>
              <w:t>memperbesar</w:t>
            </w:r>
          </w:p>
        </w:tc>
        <w:tc>
          <w:tcPr>
            <w:tcW w:w="0" w:type="auto"/>
            <w:tcBorders>
              <w:bottom w:val="single" w:sz="0" w:space="0" w:color="auto"/>
            </w:tcBorders>
            <w:vAlign w:val="bottom"/>
          </w:tcPr>
          <w:p w14:paraId="1F564ECE" w14:textId="77777777" w:rsidR="005E1A44" w:rsidRDefault="002B61C3">
            <w:pPr>
              <w:pStyle w:val="Compact"/>
            </w:pPr>
            <w:r>
              <w:rPr>
                <w:i/>
              </w:rPr>
              <w:t>membesarkan</w:t>
            </w:r>
          </w:p>
        </w:tc>
        <w:tc>
          <w:tcPr>
            <w:tcW w:w="0" w:type="auto"/>
            <w:tcBorders>
              <w:bottom w:val="single" w:sz="0" w:space="0" w:color="auto"/>
            </w:tcBorders>
            <w:vAlign w:val="bottom"/>
          </w:tcPr>
          <w:p w14:paraId="4D1A0A07" w14:textId="77777777" w:rsidR="005E1A44" w:rsidRDefault="002B61C3">
            <w:pPr>
              <w:pStyle w:val="Compact"/>
            </w:pPr>
            <w:r>
              <w:t>Total</w:t>
            </w:r>
          </w:p>
        </w:tc>
      </w:tr>
      <w:tr w:rsidR="005E1A44" w14:paraId="0F71CDC5" w14:textId="77777777">
        <w:tc>
          <w:tcPr>
            <w:tcW w:w="0" w:type="auto"/>
          </w:tcPr>
          <w:p w14:paraId="3B25267C" w14:textId="77777777" w:rsidR="005E1A44" w:rsidRDefault="002B61C3">
            <w:pPr>
              <w:pStyle w:val="Compact"/>
            </w:pPr>
            <w:r>
              <w:rPr>
                <w:i/>
              </w:rPr>
              <w:t>jumlah</w:t>
            </w:r>
          </w:p>
        </w:tc>
        <w:tc>
          <w:tcPr>
            <w:tcW w:w="0" w:type="auto"/>
          </w:tcPr>
          <w:p w14:paraId="1B42407C" w14:textId="77777777" w:rsidR="005E1A44" w:rsidRDefault="002B61C3">
            <w:pPr>
              <w:pStyle w:val="Compact"/>
            </w:pPr>
            <w:r>
              <w:t>9 (5.77)</w:t>
            </w:r>
          </w:p>
        </w:tc>
        <w:tc>
          <w:tcPr>
            <w:tcW w:w="0" w:type="auto"/>
          </w:tcPr>
          <w:p w14:paraId="57B09BEE" w14:textId="77777777" w:rsidR="005E1A44" w:rsidRDefault="002B61C3">
            <w:pPr>
              <w:pStyle w:val="Compact"/>
            </w:pPr>
            <w:r>
              <w:t>1 (4.23)</w:t>
            </w:r>
          </w:p>
        </w:tc>
        <w:tc>
          <w:tcPr>
            <w:tcW w:w="0" w:type="auto"/>
          </w:tcPr>
          <w:p w14:paraId="2D5ACCDC" w14:textId="77777777" w:rsidR="005E1A44" w:rsidRDefault="002B61C3">
            <w:pPr>
              <w:pStyle w:val="Compact"/>
            </w:pPr>
            <w:r>
              <w:t>10</w:t>
            </w:r>
          </w:p>
        </w:tc>
      </w:tr>
      <w:tr w:rsidR="005E1A44" w14:paraId="2F68AD7C" w14:textId="77777777">
        <w:tc>
          <w:tcPr>
            <w:tcW w:w="0" w:type="auto"/>
          </w:tcPr>
          <w:p w14:paraId="1BEFBABD" w14:textId="77777777" w:rsidR="005E1A44" w:rsidRDefault="002B61C3">
            <w:pPr>
              <w:pStyle w:val="Compact"/>
            </w:pPr>
            <w:r>
              <w:rPr>
                <w:i/>
              </w:rPr>
              <w:t>¬jumlah</w:t>
            </w:r>
          </w:p>
        </w:tc>
        <w:tc>
          <w:tcPr>
            <w:tcW w:w="0" w:type="auto"/>
          </w:tcPr>
          <w:p w14:paraId="56DB92AA" w14:textId="77777777" w:rsidR="005E1A44" w:rsidRDefault="002B61C3">
            <w:pPr>
              <w:pStyle w:val="Compact"/>
            </w:pPr>
            <w:r>
              <w:t>408 (411.23)</w:t>
            </w:r>
          </w:p>
        </w:tc>
        <w:tc>
          <w:tcPr>
            <w:tcW w:w="0" w:type="auto"/>
          </w:tcPr>
          <w:p w14:paraId="409671D4" w14:textId="77777777" w:rsidR="005E1A44" w:rsidRDefault="002B61C3">
            <w:pPr>
              <w:pStyle w:val="Compact"/>
            </w:pPr>
            <w:r>
              <w:t>305 (301.77)</w:t>
            </w:r>
          </w:p>
        </w:tc>
        <w:tc>
          <w:tcPr>
            <w:tcW w:w="0" w:type="auto"/>
          </w:tcPr>
          <w:p w14:paraId="6699A555" w14:textId="77777777" w:rsidR="005E1A44" w:rsidRDefault="002B61C3">
            <w:pPr>
              <w:pStyle w:val="Compact"/>
            </w:pPr>
            <w:r>
              <w:t>713</w:t>
            </w:r>
          </w:p>
        </w:tc>
      </w:tr>
      <w:tr w:rsidR="005E1A44" w14:paraId="05307333" w14:textId="77777777">
        <w:tc>
          <w:tcPr>
            <w:tcW w:w="0" w:type="auto"/>
          </w:tcPr>
          <w:p w14:paraId="5DD42E55" w14:textId="77777777" w:rsidR="005E1A44" w:rsidRDefault="002B61C3">
            <w:pPr>
              <w:pStyle w:val="Compact"/>
            </w:pPr>
            <w:r>
              <w:t>Total</w:t>
            </w:r>
          </w:p>
        </w:tc>
        <w:tc>
          <w:tcPr>
            <w:tcW w:w="0" w:type="auto"/>
          </w:tcPr>
          <w:p w14:paraId="30026D3D" w14:textId="77777777" w:rsidR="005E1A44" w:rsidRDefault="002B61C3">
            <w:pPr>
              <w:pStyle w:val="Compact"/>
            </w:pPr>
            <w:r>
              <w:t>417</w:t>
            </w:r>
          </w:p>
        </w:tc>
        <w:tc>
          <w:tcPr>
            <w:tcW w:w="0" w:type="auto"/>
          </w:tcPr>
          <w:p w14:paraId="68258863" w14:textId="77777777" w:rsidR="005E1A44" w:rsidRDefault="002B61C3">
            <w:pPr>
              <w:pStyle w:val="Compact"/>
            </w:pPr>
            <w:r>
              <w:t>306</w:t>
            </w:r>
          </w:p>
        </w:tc>
        <w:tc>
          <w:tcPr>
            <w:tcW w:w="0" w:type="auto"/>
          </w:tcPr>
          <w:p w14:paraId="02EE25E5" w14:textId="77777777" w:rsidR="005E1A44" w:rsidRDefault="002B61C3">
            <w:pPr>
              <w:pStyle w:val="Compact"/>
            </w:pPr>
            <w:r>
              <w:t>723</w:t>
            </w:r>
          </w:p>
        </w:tc>
      </w:tr>
    </w:tbl>
    <w:p w14:paraId="2EC01710" w14:textId="77777777" w:rsidR="005E1A44" w:rsidRDefault="002B61C3">
      <w:pPr>
        <w:pStyle w:val="BodyText"/>
      </w:pPr>
      <w:r>
        <w:t>Post table text is here.</w:t>
      </w:r>
    </w:p>
    <w:p w14:paraId="1A419FBD" w14:textId="77777777" w:rsidR="005E1A44" w:rsidRDefault="002B61C3">
      <w:pPr>
        <w:pStyle w:val="BodyText"/>
      </w:pPr>
      <w:r>
        <w:t>R codes below.</w:t>
      </w:r>
    </w:p>
    <w:p w14:paraId="6299E592" w14:textId="77777777" w:rsidR="005E1A44" w:rsidRPr="008D5DBF" w:rsidRDefault="002B61C3">
      <w:pPr>
        <w:pStyle w:val="SourceCode"/>
        <w:rPr>
          <w:rFonts w:cs="Consolas"/>
          <w:sz w:val="20"/>
          <w:szCs w:val="20"/>
        </w:rPr>
      </w:pPr>
      <w:r w:rsidRPr="008D5DBF">
        <w:rPr>
          <w:rStyle w:val="CommentTok"/>
          <w:rFonts w:cs="Consolas"/>
          <w:sz w:val="20"/>
          <w:szCs w:val="20"/>
        </w:rPr>
        <w:t># buat matrix tabulasi silang</w:t>
      </w:r>
      <w:r w:rsidRPr="008D5DBF">
        <w:rPr>
          <w:rFonts w:cs="Consolas"/>
          <w:sz w:val="20"/>
          <w:szCs w:val="20"/>
        </w:rPr>
        <w:br/>
      </w:r>
      <w:r w:rsidRPr="008D5DBF">
        <w:rPr>
          <w:rStyle w:val="NormalTok"/>
          <w:rFonts w:cs="Consolas"/>
          <w:sz w:val="20"/>
          <w:szCs w:val="20"/>
        </w:rPr>
        <w:t>xtab &lt;-</w:t>
      </w:r>
      <w:r w:rsidRPr="008D5DBF">
        <w:rPr>
          <w:rStyle w:val="StringTok"/>
          <w:rFonts w:cs="Consolas"/>
          <w:sz w:val="20"/>
          <w:szCs w:val="20"/>
        </w:rPr>
        <w:t xml:space="preserve"> </w:t>
      </w:r>
      <w:r w:rsidRPr="008D5DBF">
        <w:rPr>
          <w:rStyle w:val="KeywordTok"/>
          <w:rFonts w:cs="Consolas"/>
          <w:sz w:val="20"/>
          <w:szCs w:val="20"/>
        </w:rPr>
        <w:t>matrix</w:t>
      </w:r>
      <w:r w:rsidRPr="008D5DBF">
        <w:rPr>
          <w:rStyle w:val="NormalTok"/>
          <w:rFonts w:cs="Consolas"/>
          <w:sz w:val="20"/>
          <w:szCs w:val="20"/>
        </w:rPr>
        <w:t>(</w:t>
      </w:r>
      <w:r w:rsidRPr="008D5DBF">
        <w:rPr>
          <w:rStyle w:val="KeywordTok"/>
          <w:rFonts w:cs="Consolas"/>
          <w:sz w:val="20"/>
          <w:szCs w:val="20"/>
        </w:rPr>
        <w:t>c</w:t>
      </w:r>
      <w:r w:rsidRPr="008D5DBF">
        <w:rPr>
          <w:rStyle w:val="NormalTok"/>
          <w:rFonts w:cs="Consolas"/>
          <w:sz w:val="20"/>
          <w:szCs w:val="20"/>
        </w:rPr>
        <w:t>(</w:t>
      </w:r>
      <w:r w:rsidRPr="008D5DBF">
        <w:rPr>
          <w:rStyle w:val="DecValTok"/>
          <w:rFonts w:cs="Consolas"/>
          <w:sz w:val="20"/>
          <w:szCs w:val="20"/>
        </w:rPr>
        <w:t>9</w:t>
      </w:r>
      <w:r w:rsidRPr="008D5DBF">
        <w:rPr>
          <w:rStyle w:val="NormalTok"/>
          <w:rFonts w:cs="Consolas"/>
          <w:sz w:val="20"/>
          <w:szCs w:val="20"/>
        </w:rPr>
        <w:t xml:space="preserve">, </w:t>
      </w:r>
      <w:r w:rsidRPr="008D5DBF">
        <w:rPr>
          <w:rStyle w:val="DecValTok"/>
          <w:rFonts w:cs="Consolas"/>
          <w:sz w:val="20"/>
          <w:szCs w:val="20"/>
        </w:rPr>
        <w:t>1</w:t>
      </w:r>
      <w:r w:rsidRPr="008D5DBF">
        <w:rPr>
          <w:rStyle w:val="NormalTok"/>
          <w:rFonts w:cs="Consolas"/>
          <w:sz w:val="20"/>
          <w:szCs w:val="20"/>
        </w:rPr>
        <w:t xml:space="preserve">, </w:t>
      </w:r>
      <w:r w:rsidRPr="008D5DBF">
        <w:rPr>
          <w:rStyle w:val="DecValTok"/>
          <w:rFonts w:cs="Consolas"/>
          <w:sz w:val="20"/>
          <w:szCs w:val="20"/>
        </w:rPr>
        <w:t>408</w:t>
      </w:r>
      <w:r w:rsidRPr="008D5DBF">
        <w:rPr>
          <w:rStyle w:val="NormalTok"/>
          <w:rFonts w:cs="Consolas"/>
          <w:sz w:val="20"/>
          <w:szCs w:val="20"/>
        </w:rPr>
        <w:t xml:space="preserve">, </w:t>
      </w:r>
      <w:r w:rsidRPr="008D5DBF">
        <w:rPr>
          <w:rStyle w:val="DecValTok"/>
          <w:rFonts w:cs="Consolas"/>
          <w:sz w:val="20"/>
          <w:szCs w:val="20"/>
        </w:rPr>
        <w:t>305</w:t>
      </w:r>
      <w:r w:rsidRPr="008D5DBF">
        <w:rPr>
          <w:rStyle w:val="NormalTok"/>
          <w:rFonts w:cs="Consolas"/>
          <w:sz w:val="20"/>
          <w:szCs w:val="20"/>
        </w:rPr>
        <w:t xml:space="preserve">), </w:t>
      </w:r>
      <w:r w:rsidRPr="008D5DBF">
        <w:rPr>
          <w:rStyle w:val="DataTypeTok"/>
          <w:rFonts w:cs="Consolas"/>
          <w:sz w:val="20"/>
          <w:szCs w:val="20"/>
        </w:rPr>
        <w:t>nrow =</w:t>
      </w:r>
      <w:r w:rsidRPr="008D5DBF">
        <w:rPr>
          <w:rStyle w:val="NormalTok"/>
          <w:rFonts w:cs="Consolas"/>
          <w:sz w:val="20"/>
          <w:szCs w:val="20"/>
        </w:rPr>
        <w:t xml:space="preserve"> </w:t>
      </w:r>
      <w:r w:rsidRPr="008D5DBF">
        <w:rPr>
          <w:rStyle w:val="DecValTok"/>
          <w:rFonts w:cs="Consolas"/>
          <w:sz w:val="20"/>
          <w:szCs w:val="20"/>
        </w:rPr>
        <w:t>2</w:t>
      </w:r>
      <w:r w:rsidRPr="008D5DBF">
        <w:rPr>
          <w:rStyle w:val="NormalTok"/>
          <w:rFonts w:cs="Consolas"/>
          <w:sz w:val="20"/>
          <w:szCs w:val="20"/>
        </w:rPr>
        <w:t xml:space="preserve">, </w:t>
      </w:r>
      <w:r w:rsidRPr="008D5DBF">
        <w:rPr>
          <w:rStyle w:val="DataTypeTok"/>
          <w:rFonts w:cs="Consolas"/>
          <w:sz w:val="20"/>
          <w:szCs w:val="20"/>
        </w:rPr>
        <w:t>byrow =</w:t>
      </w:r>
      <w:r w:rsidRPr="008D5DBF">
        <w:rPr>
          <w:rStyle w:val="NormalTok"/>
          <w:rFonts w:cs="Consolas"/>
          <w:sz w:val="20"/>
          <w:szCs w:val="20"/>
        </w:rPr>
        <w:t xml:space="preserve"> </w:t>
      </w:r>
      <w:r w:rsidRPr="008D5DBF">
        <w:rPr>
          <w:rStyle w:val="OtherTok"/>
          <w:rFonts w:cs="Consolas"/>
          <w:sz w:val="20"/>
          <w:szCs w:val="20"/>
        </w:rPr>
        <w:t>TRUE</w:t>
      </w:r>
      <w:r w:rsidRPr="008D5DBF">
        <w:rPr>
          <w:rStyle w:val="NormalTok"/>
          <w:rFonts w:cs="Consolas"/>
          <w:sz w:val="20"/>
          <w:szCs w:val="20"/>
        </w:rPr>
        <w:t>)</w:t>
      </w:r>
      <w:r w:rsidRPr="008D5DBF">
        <w:rPr>
          <w:rFonts w:cs="Consolas"/>
          <w:sz w:val="20"/>
          <w:szCs w:val="20"/>
        </w:rPr>
        <w:br/>
      </w:r>
      <w:r w:rsidRPr="008D5DBF">
        <w:rPr>
          <w:rFonts w:cs="Consolas"/>
          <w:sz w:val="20"/>
          <w:szCs w:val="20"/>
        </w:rPr>
        <w:br/>
      </w:r>
      <w:r w:rsidRPr="008D5DBF">
        <w:rPr>
          <w:rStyle w:val="CommentTok"/>
          <w:rFonts w:cs="Consolas"/>
          <w:sz w:val="20"/>
          <w:szCs w:val="20"/>
        </w:rPr>
        <w:t># lakukan fisher exact test dan ambil p-value</w:t>
      </w:r>
      <w:r w:rsidRPr="008D5DBF">
        <w:rPr>
          <w:rFonts w:cs="Consolas"/>
          <w:sz w:val="20"/>
          <w:szCs w:val="20"/>
        </w:rPr>
        <w:br/>
      </w:r>
      <w:r w:rsidRPr="008D5DBF">
        <w:rPr>
          <w:rStyle w:val="NormalTok"/>
          <w:rFonts w:cs="Consolas"/>
          <w:sz w:val="20"/>
          <w:szCs w:val="20"/>
        </w:rPr>
        <w:t>p_fye &lt;-</w:t>
      </w:r>
      <w:r w:rsidRPr="008D5DBF">
        <w:rPr>
          <w:rStyle w:val="StringTok"/>
          <w:rFonts w:cs="Consolas"/>
          <w:sz w:val="20"/>
          <w:szCs w:val="20"/>
        </w:rPr>
        <w:t xml:space="preserve"> </w:t>
      </w:r>
      <w:r w:rsidRPr="008D5DBF">
        <w:rPr>
          <w:rStyle w:val="KeywordTok"/>
          <w:rFonts w:cs="Consolas"/>
          <w:sz w:val="20"/>
          <w:szCs w:val="20"/>
        </w:rPr>
        <w:t>fisher.test</w:t>
      </w:r>
      <w:r w:rsidRPr="008D5DBF">
        <w:rPr>
          <w:rStyle w:val="NormalTok"/>
          <w:rFonts w:cs="Consolas"/>
          <w:sz w:val="20"/>
          <w:szCs w:val="20"/>
        </w:rPr>
        <w:t xml:space="preserve">(xtab, </w:t>
      </w:r>
      <w:r w:rsidRPr="008D5DBF">
        <w:rPr>
          <w:rStyle w:val="DataTypeTok"/>
          <w:rFonts w:cs="Consolas"/>
          <w:sz w:val="20"/>
          <w:szCs w:val="20"/>
        </w:rPr>
        <w:t>alternative =</w:t>
      </w:r>
      <w:r w:rsidRPr="008D5DBF">
        <w:rPr>
          <w:rStyle w:val="NormalTok"/>
          <w:rFonts w:cs="Consolas"/>
          <w:sz w:val="20"/>
          <w:szCs w:val="20"/>
        </w:rPr>
        <w:t xml:space="preserve"> </w:t>
      </w:r>
      <w:r w:rsidRPr="008D5DBF">
        <w:rPr>
          <w:rStyle w:val="StringTok"/>
          <w:rFonts w:cs="Consolas"/>
          <w:sz w:val="20"/>
          <w:szCs w:val="20"/>
        </w:rPr>
        <w:t>"greater"</w:t>
      </w:r>
      <w:r w:rsidRPr="008D5DBF">
        <w:rPr>
          <w:rStyle w:val="NormalTok"/>
          <w:rFonts w:cs="Consolas"/>
          <w:sz w:val="20"/>
          <w:szCs w:val="20"/>
        </w:rPr>
        <w:t>)</w:t>
      </w:r>
      <w:r w:rsidRPr="008D5DBF">
        <w:rPr>
          <w:rStyle w:val="OperatorTok"/>
          <w:rFonts w:cs="Consolas"/>
          <w:sz w:val="20"/>
          <w:szCs w:val="20"/>
        </w:rPr>
        <w:t>$</w:t>
      </w:r>
      <w:r w:rsidRPr="008D5DBF">
        <w:rPr>
          <w:rStyle w:val="NormalTok"/>
          <w:rFonts w:cs="Consolas"/>
          <w:sz w:val="20"/>
          <w:szCs w:val="20"/>
        </w:rPr>
        <w:t>p.value</w:t>
      </w:r>
      <w:r w:rsidRPr="008D5DBF">
        <w:rPr>
          <w:rFonts w:cs="Consolas"/>
          <w:sz w:val="20"/>
          <w:szCs w:val="20"/>
        </w:rPr>
        <w:br/>
      </w:r>
      <w:r w:rsidRPr="008D5DBF">
        <w:rPr>
          <w:rFonts w:cs="Consolas"/>
          <w:sz w:val="20"/>
          <w:szCs w:val="20"/>
        </w:rPr>
        <w:br/>
      </w:r>
      <w:r w:rsidRPr="008D5DBF">
        <w:rPr>
          <w:rStyle w:val="CommentTok"/>
          <w:rFonts w:cs="Consolas"/>
          <w:sz w:val="20"/>
          <w:szCs w:val="20"/>
        </w:rPr>
        <w:t># periksa hasil</w:t>
      </w:r>
      <w:r w:rsidRPr="008D5DBF">
        <w:rPr>
          <w:rFonts w:cs="Consolas"/>
          <w:sz w:val="20"/>
          <w:szCs w:val="20"/>
        </w:rPr>
        <w:br/>
      </w:r>
      <w:r w:rsidRPr="008D5DBF">
        <w:rPr>
          <w:rStyle w:val="NormalTok"/>
          <w:rFonts w:cs="Consolas"/>
          <w:sz w:val="20"/>
          <w:szCs w:val="20"/>
        </w:rPr>
        <w:t>p_fye</w:t>
      </w:r>
    </w:p>
    <w:p w14:paraId="4508F44F" w14:textId="77777777" w:rsidR="005E1A44" w:rsidRPr="008D5DBF" w:rsidRDefault="002B61C3">
      <w:pPr>
        <w:pStyle w:val="SourceCode"/>
        <w:rPr>
          <w:rFonts w:cs="Consolas"/>
          <w:sz w:val="20"/>
          <w:szCs w:val="20"/>
        </w:rPr>
      </w:pPr>
      <w:r w:rsidRPr="008D5DBF">
        <w:rPr>
          <w:rStyle w:val="VerbatimChar"/>
          <w:rFonts w:cs="Consolas"/>
          <w:sz w:val="20"/>
          <w:szCs w:val="20"/>
        </w:rPr>
        <w:t>## [1] 0.03306132</w:t>
      </w:r>
    </w:p>
    <w:p w14:paraId="039149D4" w14:textId="77777777" w:rsidR="005E1A44" w:rsidRPr="008D5DBF" w:rsidRDefault="002B61C3">
      <w:pPr>
        <w:pStyle w:val="SourceCode"/>
        <w:rPr>
          <w:rFonts w:cs="Consolas"/>
          <w:sz w:val="20"/>
          <w:szCs w:val="20"/>
        </w:rPr>
      </w:pPr>
      <w:r w:rsidRPr="008D5DBF">
        <w:rPr>
          <w:rStyle w:val="CommentTok"/>
          <w:rFonts w:cs="Consolas"/>
          <w:sz w:val="20"/>
          <w:szCs w:val="20"/>
        </w:rPr>
        <w:t># ubah p-value menjadi kadar kekhasan</w:t>
      </w:r>
      <w:r w:rsidRPr="008D5DBF">
        <w:rPr>
          <w:rFonts w:cs="Consolas"/>
          <w:sz w:val="20"/>
          <w:szCs w:val="20"/>
        </w:rPr>
        <w:br/>
      </w:r>
      <w:r w:rsidRPr="008D5DBF">
        <w:rPr>
          <w:rStyle w:val="NormalTok"/>
          <w:rFonts w:cs="Consolas"/>
          <w:sz w:val="20"/>
          <w:szCs w:val="20"/>
        </w:rPr>
        <w:t>collstr &lt;-</w:t>
      </w:r>
      <w:r w:rsidRPr="008D5DBF">
        <w:rPr>
          <w:rStyle w:val="StringTok"/>
          <w:rFonts w:cs="Consolas"/>
          <w:sz w:val="20"/>
          <w:szCs w:val="20"/>
        </w:rPr>
        <w:t xml:space="preserve"> </w:t>
      </w:r>
      <w:r w:rsidRPr="008D5DBF">
        <w:rPr>
          <w:rStyle w:val="OperatorTok"/>
          <w:rFonts w:cs="Consolas"/>
          <w:sz w:val="20"/>
          <w:szCs w:val="20"/>
        </w:rPr>
        <w:t>-</w:t>
      </w:r>
      <w:r w:rsidRPr="008D5DBF">
        <w:rPr>
          <w:rStyle w:val="KeywordTok"/>
          <w:rFonts w:cs="Consolas"/>
          <w:sz w:val="20"/>
          <w:szCs w:val="20"/>
        </w:rPr>
        <w:t>log10</w:t>
      </w:r>
      <w:r w:rsidRPr="008D5DBF">
        <w:rPr>
          <w:rStyle w:val="NormalTok"/>
          <w:rFonts w:cs="Consolas"/>
          <w:sz w:val="20"/>
          <w:szCs w:val="20"/>
        </w:rPr>
        <w:t>(p_fye)</w:t>
      </w:r>
      <w:r w:rsidRPr="008D5DBF">
        <w:rPr>
          <w:rFonts w:cs="Consolas"/>
          <w:sz w:val="20"/>
          <w:szCs w:val="20"/>
        </w:rPr>
        <w:br/>
      </w:r>
      <w:r w:rsidRPr="008D5DBF">
        <w:rPr>
          <w:rStyle w:val="KeywordTok"/>
          <w:rFonts w:cs="Consolas"/>
          <w:sz w:val="20"/>
          <w:szCs w:val="20"/>
        </w:rPr>
        <w:t>round</w:t>
      </w:r>
      <w:r w:rsidRPr="008D5DBF">
        <w:rPr>
          <w:rStyle w:val="NormalTok"/>
          <w:rFonts w:cs="Consolas"/>
          <w:sz w:val="20"/>
          <w:szCs w:val="20"/>
        </w:rPr>
        <w:t xml:space="preserve">(collstr, </w:t>
      </w:r>
      <w:r w:rsidRPr="008D5DBF">
        <w:rPr>
          <w:rStyle w:val="DataTypeTok"/>
          <w:rFonts w:cs="Consolas"/>
          <w:sz w:val="20"/>
          <w:szCs w:val="20"/>
        </w:rPr>
        <w:t>digits =</w:t>
      </w:r>
      <w:r w:rsidRPr="008D5DBF">
        <w:rPr>
          <w:rStyle w:val="NormalTok"/>
          <w:rFonts w:cs="Consolas"/>
          <w:sz w:val="20"/>
          <w:szCs w:val="20"/>
        </w:rPr>
        <w:t xml:space="preserve"> </w:t>
      </w:r>
      <w:r w:rsidRPr="008D5DBF">
        <w:rPr>
          <w:rStyle w:val="DecValTok"/>
          <w:rFonts w:cs="Consolas"/>
          <w:sz w:val="20"/>
          <w:szCs w:val="20"/>
        </w:rPr>
        <w:t>2</w:t>
      </w:r>
      <w:r w:rsidRPr="008D5DBF">
        <w:rPr>
          <w:rStyle w:val="NormalTok"/>
          <w:rFonts w:cs="Consolas"/>
          <w:sz w:val="20"/>
          <w:szCs w:val="20"/>
        </w:rPr>
        <w:t>)</w:t>
      </w:r>
    </w:p>
    <w:p w14:paraId="77C9F64C" w14:textId="77777777" w:rsidR="005E1A44" w:rsidRDefault="002B61C3">
      <w:pPr>
        <w:pStyle w:val="SourceCode"/>
      </w:pPr>
      <w:r w:rsidRPr="008D5DBF">
        <w:rPr>
          <w:rStyle w:val="VerbatimChar"/>
          <w:rFonts w:cs="Consolas"/>
          <w:sz w:val="20"/>
          <w:szCs w:val="20"/>
        </w:rPr>
        <w:t>## [1] 1.48</w:t>
      </w:r>
    </w:p>
    <w:p w14:paraId="19FAA8DD" w14:textId="77777777" w:rsidR="005E1A44" w:rsidRDefault="002B61C3">
      <w:pPr>
        <w:pStyle w:val="FirstParagraph"/>
      </w:pPr>
      <w:r>
        <w:t xml:space="preserve">DCA sejauh ini telah diterapkan pada data Bahasa Indonesia untuk kajian interaksi antara metafora dan sinonim emosi (G. P. W. Rajeg, </w:t>
      </w:r>
      <w:hyperlink w:anchor="ref-rajeg_metaphorical_2014">
        <w:r>
          <w:rPr>
            <w:rStyle w:val="Hyperlink"/>
          </w:rPr>
          <w:t>2014</w:t>
        </w:r>
      </w:hyperlink>
      <w:r>
        <w:t xml:space="preserve">, </w:t>
      </w:r>
      <w:hyperlink w:anchor="ref-rajeg_collostructional_2016">
        <w:r>
          <w:rPr>
            <w:rStyle w:val="Hyperlink"/>
          </w:rPr>
          <w:t>2016</w:t>
        </w:r>
      </w:hyperlink>
      <w:r>
        <w:t xml:space="preserve">, </w:t>
      </w:r>
      <w:hyperlink w:anchor="ref-rajeg_happyr_2018">
        <w:r>
          <w:rPr>
            <w:rStyle w:val="Hyperlink"/>
          </w:rPr>
          <w:t>2018</w:t>
        </w:r>
      </w:hyperlink>
      <w:hyperlink w:anchor="ref-rajeg_happyr_2018">
        <w:r>
          <w:rPr>
            <w:rStyle w:val="Hyperlink"/>
          </w:rPr>
          <w:t>b</w:t>
        </w:r>
      </w:hyperlink>
      <w:r>
        <w:t xml:space="preserve">) dan konstruksi negasi dengan </w:t>
      </w:r>
      <w:r>
        <w:rPr>
          <w:i/>
        </w:rPr>
        <w:t>tak</w:t>
      </w:r>
      <w:r>
        <w:t xml:space="preserve"> dan </w:t>
      </w:r>
      <w:r>
        <w:rPr>
          <w:i/>
        </w:rPr>
        <w:t>tidak</w:t>
      </w:r>
      <w:r>
        <w:t xml:space="preserve"> (G. P. W. Rajeg, Denistia, &amp; Rajeg, </w:t>
      </w:r>
      <w:hyperlink w:anchor="ref-rajeg_working_2018">
        <w:r>
          <w:rPr>
            <w:rStyle w:val="Hyperlink"/>
          </w:rPr>
          <w:t>2018</w:t>
        </w:r>
      </w:hyperlink>
      <w:r>
        <w:t>).</w:t>
      </w:r>
    </w:p>
    <w:p w14:paraId="402CE573" w14:textId="77777777" w:rsidR="005E1A44" w:rsidRDefault="002B61C3">
      <w:pPr>
        <w:pStyle w:val="Heading1"/>
      </w:pPr>
      <w:bookmarkStart w:id="5" w:name="hasil-dan-pembahasan"/>
      <w:bookmarkEnd w:id="5"/>
      <w:r>
        <w:t>Hasil dan pembahasan</w:t>
      </w:r>
    </w:p>
    <w:p w14:paraId="156B4B57" w14:textId="77777777" w:rsidR="005E1A44" w:rsidRDefault="002B61C3">
      <w:pPr>
        <w:pStyle w:val="FirstParagraph"/>
      </w:pPr>
      <w:r>
        <w:t>Results discussion goes here.</w:t>
      </w:r>
    </w:p>
    <w:p w14:paraId="503604EC" w14:textId="77777777" w:rsidR="005E1A44" w:rsidRDefault="002B61C3">
      <w:pPr>
        <w:pStyle w:val="TableCaption"/>
      </w:pPr>
      <w:r>
        <w:lastRenderedPageBreak/>
        <w:t xml:space="preserve">Tabel 3 Koleksem R1 khas untuk </w:t>
      </w:r>
      <w:r>
        <w:rPr>
          <w:i/>
        </w:rPr>
        <w:t>membesarkan</w:t>
      </w:r>
      <w:r>
        <w:t xml:space="preserve"> (</w:t>
      </w:r>
      <w:r>
        <w:rPr>
          <w:i/>
        </w:rPr>
        <w:t>collstr</w:t>
      </w:r>
      <w:r>
        <w:t xml:space="preserve"> &gt; 1.30103 atau </w:t>
      </w:r>
      <w:r>
        <w:rPr>
          <w:i/>
        </w:rPr>
        <w:t>p</w:t>
      </w:r>
      <w:r>
        <w:rPr>
          <w:vertAlign w:val="subscript"/>
        </w:rPr>
        <w:t>Fisher</w:t>
      </w:r>
      <w:r>
        <w:t xml:space="preserve"> </w:t>
      </w:r>
      <w:r>
        <w:rPr>
          <w:vertAlign w:val="subscript"/>
        </w:rPr>
        <w:t>Exact</w:t>
      </w:r>
      <w:r>
        <w:t xml:space="preserve"> &lt; 0.05)</w:t>
      </w:r>
    </w:p>
    <w:p w14:paraId="14FBFE95" w14:textId="77777777" w:rsidR="005E1A44" w:rsidRDefault="002B61C3">
      <w:pPr>
        <w:pStyle w:val="BodyText"/>
      </w:pPr>
      <w:r>
        <w:t>Post table text goes here.</w:t>
      </w:r>
    </w:p>
    <w:p w14:paraId="22625A45" w14:textId="77777777" w:rsidR="005E1A44" w:rsidRDefault="002B61C3">
      <w:pPr>
        <w:pStyle w:val="TableCaption"/>
      </w:pPr>
      <w:r>
        <w:t xml:space="preserve">Tabel 4 Koleksem R1 khas untuk </w:t>
      </w:r>
      <w:r>
        <w:rPr>
          <w:i/>
        </w:rPr>
        <w:t>memperbesar</w:t>
      </w:r>
      <w:r>
        <w:t xml:space="preserve"> (</w:t>
      </w:r>
      <w:r>
        <w:rPr>
          <w:i/>
        </w:rPr>
        <w:t>collstr</w:t>
      </w:r>
      <w:r>
        <w:t xml:space="preserve"> &gt; 1.30103 atau </w:t>
      </w:r>
      <w:r>
        <w:rPr>
          <w:i/>
        </w:rPr>
        <w:t>p</w:t>
      </w:r>
      <w:r>
        <w:rPr>
          <w:vertAlign w:val="subscript"/>
        </w:rPr>
        <w:t>Fisher</w:t>
      </w:r>
      <w:r>
        <w:t xml:space="preserve"> </w:t>
      </w:r>
      <w:r>
        <w:rPr>
          <w:vertAlign w:val="subscript"/>
        </w:rPr>
        <w:t>Exact</w:t>
      </w:r>
      <w:r>
        <w:t xml:space="preserve"> &lt; 0.05)</w:t>
      </w:r>
    </w:p>
    <w:p w14:paraId="2C356E69" w14:textId="77777777" w:rsidR="005E1A44" w:rsidRDefault="002B61C3">
      <w:pPr>
        <w:pStyle w:val="Heading1"/>
      </w:pPr>
      <w:bookmarkStart w:id="6" w:name="penutup"/>
      <w:bookmarkEnd w:id="6"/>
      <w:r>
        <w:t>Penutup</w:t>
      </w:r>
    </w:p>
    <w:p w14:paraId="18D96C37" w14:textId="77777777" w:rsidR="005E1A44" w:rsidRDefault="002B61C3">
      <w:pPr>
        <w:pStyle w:val="Heading1"/>
      </w:pPr>
      <w:bookmarkStart w:id="7" w:name="daftar-pustaka"/>
      <w:bookmarkEnd w:id="7"/>
      <w:r>
        <w:t>Daftar pustaka</w:t>
      </w:r>
    </w:p>
    <w:p w14:paraId="68194B0D" w14:textId="77777777" w:rsidR="005E1A44" w:rsidRDefault="002B61C3">
      <w:pPr>
        <w:pStyle w:val="Bibliography"/>
      </w:pPr>
      <w:r w:rsidRPr="00C10F02">
        <w:rPr>
          <w:lang w:val="de-DE"/>
        </w:rPr>
        <w:t xml:space="preserve">Biemann, C., Heyer, G., Quasthoff, U., &amp; Richter, M. (2007). </w:t>
      </w:r>
      <w:r>
        <w:t xml:space="preserve">The Leipzig Corpora Collection: Monolingual corpora of standard size. In M. Davies, P. Rayson, S. Hunston, &amp; P. Danielsson (Eds.), </w:t>
      </w:r>
      <w:r>
        <w:rPr>
          <w:i/>
        </w:rPr>
        <w:t>Proceedings of the Corpus Linguistics Conference</w:t>
      </w:r>
      <w:r>
        <w:t xml:space="preserve">. University of Birmingham, UK. Retrieved from </w:t>
      </w:r>
      <w:hyperlink r:id="rId7">
        <w:r>
          <w:rPr>
            <w:rStyle w:val="Hyperlink"/>
          </w:rPr>
          <w:t>http://ucrel.lancs.ac.uk/publications/CL2007/paper/190_Paper.pdf</w:t>
        </w:r>
      </w:hyperlink>
    </w:p>
    <w:p w14:paraId="2D612018" w14:textId="77777777" w:rsidR="005E1A44" w:rsidRDefault="002B61C3">
      <w:pPr>
        <w:pStyle w:val="Bibliography"/>
      </w:pPr>
      <w:r w:rsidRPr="00C10F02">
        <w:rPr>
          <w:lang w:val="de-DE"/>
        </w:rPr>
        <w:t xml:space="preserve">Gries, S. T., &amp; Stefanowitsch, A. (2004). </w:t>
      </w:r>
      <w:r>
        <w:t xml:space="preserve">Extending collostructional analysis: A corpus-based perspective on ’alternations’. </w:t>
      </w:r>
      <w:r>
        <w:rPr>
          <w:i/>
        </w:rPr>
        <w:t>International Journal of Corpus Linguistics</w:t>
      </w:r>
      <w:r>
        <w:t xml:space="preserve">, </w:t>
      </w:r>
      <w:r>
        <w:rPr>
          <w:i/>
        </w:rPr>
        <w:t>9</w:t>
      </w:r>
      <w:r>
        <w:t>(1), 97–129.</w:t>
      </w:r>
    </w:p>
    <w:p w14:paraId="0219018E" w14:textId="77777777" w:rsidR="005E1A44" w:rsidRDefault="002B61C3">
      <w:pPr>
        <w:pStyle w:val="Bibliography"/>
      </w:pPr>
      <w:r>
        <w:t xml:space="preserve">Hilpert, M. (2014). Collostructional analysis: Measuring associations between constructions and lexical elements. In D. Glynn &amp; J. A. Robinson (Eds.), </w:t>
      </w:r>
      <w:r>
        <w:rPr>
          <w:i/>
        </w:rPr>
        <w:t>Corpus methods for semantics: Quantitative studies in polysemy and synonymy</w:t>
      </w:r>
      <w:r>
        <w:t xml:space="preserve"> (pp. 391–404). Amsterdam: John Benjamins Publishing Company.</w:t>
      </w:r>
    </w:p>
    <w:p w14:paraId="145D46FB" w14:textId="77777777" w:rsidR="005E1A44" w:rsidRDefault="002B61C3">
      <w:pPr>
        <w:pStyle w:val="Bibliography"/>
      </w:pPr>
      <w:r>
        <w:t xml:space="preserve">Quasthoff, U., &amp; Goldhahn, D. (2013). </w:t>
      </w:r>
      <w:r>
        <w:rPr>
          <w:i/>
        </w:rPr>
        <w:t>Indonesian corpora</w:t>
      </w:r>
      <w:r>
        <w:t xml:space="preserve"> (Technical report series on corpus building No. 7). </w:t>
      </w:r>
      <w:r w:rsidRPr="00C10F02">
        <w:rPr>
          <w:lang w:val="de-DE"/>
        </w:rPr>
        <w:t xml:space="preserve">Leipzig, Germany: Abteilung Automatische Sprachverarbeitung, Institut für Informatik, Universität Leipzig. </w:t>
      </w:r>
      <w:r>
        <w:t xml:space="preserve">Retrieved from </w:t>
      </w:r>
      <w:hyperlink r:id="rId8">
        <w:r>
          <w:rPr>
            <w:rStyle w:val="Hyperlink"/>
          </w:rPr>
          <w:t>http://asvdoku.informatik.uni-leipzig.de/corpora/data/uploads/corpus-building-vol7-ind.pdf</w:t>
        </w:r>
      </w:hyperlink>
    </w:p>
    <w:p w14:paraId="5978CCF9" w14:textId="77777777" w:rsidR="005E1A44" w:rsidRDefault="002B61C3">
      <w:pPr>
        <w:pStyle w:val="Bibliography"/>
      </w:pPr>
      <w:r>
        <w:t xml:space="preserve">Rajeg, G. P. W. (2014). Metaphorical profiles of five Indonesian quasi-synonyms of ANGER: Multiple distinctive collexeme analysis. In </w:t>
      </w:r>
      <w:r>
        <w:rPr>
          <w:i/>
        </w:rPr>
        <w:t>Proceedings of the International Congress of the Linguistic Society of Indonesia 2014</w:t>
      </w:r>
      <w:r>
        <w:t xml:space="preserve"> (pp. 165–170). Bandar Lampung, Sumatra, Indonesia: Masyarakat Linguistik Indonesia (MLI). doi:</w:t>
      </w:r>
      <w:hyperlink r:id="rId9">
        <w:r>
          <w:rPr>
            <w:rStyle w:val="Hyperlink"/>
          </w:rPr>
          <w:t>10.4225/03/58578ddba1fd2</w:t>
        </w:r>
      </w:hyperlink>
    </w:p>
    <w:p w14:paraId="0A5C495F" w14:textId="77777777" w:rsidR="005E1A44" w:rsidRDefault="002B61C3">
      <w:pPr>
        <w:pStyle w:val="Bibliography"/>
      </w:pPr>
      <w:r>
        <w:t xml:space="preserve">Rajeg, G. P. W. (2016, July). </w:t>
      </w:r>
      <w:r>
        <w:rPr>
          <w:i/>
        </w:rPr>
        <w:t>Collostructional analysis meets metaphors: A study on Indonesian near-synonyms of HAPPINESS</w:t>
      </w:r>
      <w:r>
        <w:t>. Presented at the Twentieth International Symposium on Malay/Indonesian Linguistics (ISMIL 20), The University of Melbourne, Australia. doi:</w:t>
      </w:r>
      <w:hyperlink r:id="rId10">
        <w:r>
          <w:rPr>
            <w:rStyle w:val="Hyperlink"/>
          </w:rPr>
          <w:t>10.4225/03/592e2ba2e6ea7</w:t>
        </w:r>
      </w:hyperlink>
    </w:p>
    <w:p w14:paraId="11777DFB" w14:textId="77777777" w:rsidR="005E1A44" w:rsidRDefault="002B61C3">
      <w:pPr>
        <w:pStyle w:val="Bibliography"/>
      </w:pPr>
      <w:r>
        <w:t>Rajeg, G. P. W. (2018a). Collogetr: Collocates retriever and Collocation association measure (Version 1.0.2). doi:</w:t>
      </w:r>
      <w:hyperlink r:id="rId11">
        <w:r>
          <w:rPr>
            <w:rStyle w:val="Hyperlink"/>
          </w:rPr>
          <w:t>10.26180/5b7b9c5e32779</w:t>
        </w:r>
      </w:hyperlink>
    </w:p>
    <w:p w14:paraId="3028D010" w14:textId="77777777" w:rsidR="005E1A44" w:rsidRDefault="002B61C3">
      <w:pPr>
        <w:pStyle w:val="Bibliography"/>
      </w:pPr>
      <w:r>
        <w:t>Rajeg, G. P. W. (2018b). Happyr: The accompanying R package for Rajeg’s (2018) PhD thesis titled “Metaphorical profiles and near-synonyms: A corpus-based study of Indonesian words for Happiness” (Version 0.1.0). doi:</w:t>
      </w:r>
      <w:hyperlink r:id="rId12">
        <w:r>
          <w:rPr>
            <w:rStyle w:val="Hyperlink"/>
          </w:rPr>
          <w:t>10.5281/zenodo.1436331</w:t>
        </w:r>
      </w:hyperlink>
    </w:p>
    <w:p w14:paraId="28C2D366" w14:textId="77777777" w:rsidR="005E1A44" w:rsidRDefault="002B61C3">
      <w:pPr>
        <w:pStyle w:val="Bibliography"/>
      </w:pPr>
      <w:r w:rsidRPr="00C10F02">
        <w:rPr>
          <w:lang w:val="pl-PL"/>
        </w:rPr>
        <w:t xml:space="preserve">Rajeg, G. P. W., Denistia, K., &amp; Rajeg, I. M. (2018). </w:t>
      </w:r>
      <w:r>
        <w:t xml:space="preserve">Working with a linguistic corpus using R: An introductory note with Indonesian negating construction. </w:t>
      </w:r>
      <w:r>
        <w:rPr>
          <w:i/>
        </w:rPr>
        <w:t>Linguistik Indonesia</w:t>
      </w:r>
      <w:r>
        <w:t xml:space="preserve">, </w:t>
      </w:r>
      <w:r>
        <w:rPr>
          <w:i/>
        </w:rPr>
        <w:t>36</w:t>
      </w:r>
      <w:r>
        <w:t>(1), 1–36. doi:</w:t>
      </w:r>
      <w:hyperlink r:id="rId13">
        <w:r>
          <w:rPr>
            <w:rStyle w:val="Hyperlink"/>
          </w:rPr>
          <w:t>10.4225/03/5a7ee2ac84303</w:t>
        </w:r>
      </w:hyperlink>
    </w:p>
    <w:p w14:paraId="5534C4DF" w14:textId="77777777" w:rsidR="005E1A44" w:rsidRDefault="002B61C3">
      <w:pPr>
        <w:pStyle w:val="Bibliography"/>
      </w:pPr>
      <w:r>
        <w:t xml:space="preserve">Stefanowitsch, A. (2013). Collostructional analysis. In T. Hoffmann &amp; G. Trousdale (Eds.), </w:t>
      </w:r>
      <w:r>
        <w:rPr>
          <w:i/>
        </w:rPr>
        <w:t>The Oxford handbook of Construction Grammar</w:t>
      </w:r>
      <w:r>
        <w:t xml:space="preserve"> (pp. 290–306). Oxford: Oxford University Press. doi:</w:t>
      </w:r>
      <w:hyperlink r:id="rId14">
        <w:r>
          <w:rPr>
            <w:rStyle w:val="Hyperlink"/>
          </w:rPr>
          <w:t>10.1093/oxfordhb/9780195396683.013.0016</w:t>
        </w:r>
      </w:hyperlink>
    </w:p>
    <w:p w14:paraId="64719087" w14:textId="77777777" w:rsidR="005E1A44" w:rsidRDefault="002B61C3">
      <w:pPr>
        <w:pStyle w:val="Bibliography"/>
      </w:pPr>
      <w:r>
        <w:lastRenderedPageBreak/>
        <w:t xml:space="preserve">Stefanowitsch, A., &amp; Gries, S. T. (2003). Collostructions: Investigating the interaction of words and constructions. </w:t>
      </w:r>
      <w:r>
        <w:rPr>
          <w:i/>
        </w:rPr>
        <w:t>International Journal of Corpus Linguistics</w:t>
      </w:r>
      <w:r>
        <w:t xml:space="preserve">, </w:t>
      </w:r>
      <w:r>
        <w:rPr>
          <w:i/>
        </w:rPr>
        <w:t>8</w:t>
      </w:r>
      <w:r>
        <w:t>(2), 209–243.</w:t>
      </w:r>
    </w:p>
    <w:p w14:paraId="73C26BFF" w14:textId="77777777" w:rsidR="005E1A44" w:rsidRDefault="002B61C3">
      <w:pPr>
        <w:pStyle w:val="Bibliography"/>
      </w:pPr>
      <w:r>
        <w:t xml:space="preserve">Stefanowitsch, A., &amp; Gries, S. T. (2009). Corpora and grammar. In A. Lüdeling &amp; M. Kytö (Eds.), </w:t>
      </w:r>
      <w:r>
        <w:rPr>
          <w:i/>
        </w:rPr>
        <w:t>Corpus linguistics: An international handbook</w:t>
      </w:r>
      <w:r>
        <w:t xml:space="preserve"> (Vol. 2, pp. 933–951). Berlin: Mouton de Gruyter.</w:t>
      </w:r>
    </w:p>
    <w:sectPr w:rsidR="005E1A44" w:rsidSect="00CA3C2A">
      <w:pgSz w:w="11900" w:h="16840" w:code="9"/>
      <w:pgMar w:top="1701" w:right="1701" w:bottom="1701"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BE2EA" w14:textId="77777777" w:rsidR="00AF769E" w:rsidRDefault="00AF769E">
      <w:pPr>
        <w:spacing w:after="0"/>
      </w:pPr>
      <w:r>
        <w:separator/>
      </w:r>
    </w:p>
  </w:endnote>
  <w:endnote w:type="continuationSeparator" w:id="0">
    <w:p w14:paraId="4BF0302D" w14:textId="77777777" w:rsidR="00AF769E" w:rsidRDefault="00AF76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Headings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1C37F" w14:textId="77777777" w:rsidR="00AF769E" w:rsidRDefault="00AF769E">
      <w:r>
        <w:separator/>
      </w:r>
    </w:p>
  </w:footnote>
  <w:footnote w:type="continuationSeparator" w:id="0">
    <w:p w14:paraId="765BCFAD" w14:textId="77777777" w:rsidR="00AF769E" w:rsidRDefault="00AF769E">
      <w:r>
        <w:continuationSeparator/>
      </w:r>
    </w:p>
  </w:footnote>
  <w:footnote w:id="1">
    <w:p w14:paraId="1075CAB2" w14:textId="77777777" w:rsidR="005E1A44" w:rsidRDefault="002B61C3">
      <w:pPr>
        <w:pStyle w:val="FootnoteText"/>
      </w:pPr>
      <w:r>
        <w:rPr>
          <w:rStyle w:val="FootnoteReference"/>
        </w:rPr>
        <w:footnoteRef/>
      </w:r>
      <w:r>
        <w:t xml:space="preserve"> Unsur </w:t>
      </w:r>
      <w:r>
        <w:rPr>
          <w:i/>
        </w:rPr>
        <w:t>collostruction</w:t>
      </w:r>
      <w:r>
        <w:t xml:space="preserve"> pada </w:t>
      </w:r>
      <w:r>
        <w:rPr>
          <w:i/>
        </w:rPr>
        <w:t>Collostructional Analysis</w:t>
      </w:r>
      <w:r>
        <w:t xml:space="preserve"> (CA) adalah perpaduan antara kata </w:t>
      </w:r>
      <w:r>
        <w:rPr>
          <w:i/>
        </w:rPr>
        <w:t>collocation</w:t>
      </w:r>
      <w:r>
        <w:t xml:space="preserve"> dan </w:t>
      </w:r>
      <w:r>
        <w:rPr>
          <w:i/>
        </w:rPr>
        <w:t>construction</w:t>
      </w:r>
      <w:r>
        <w:t xml:space="preserve"> (Stefanowitsch &amp; Gries</w:t>
      </w:r>
      <w:r w:rsidRPr="008D5DBF">
        <w:rPr>
          <w:szCs w:val="21"/>
        </w:rPr>
        <w:t xml:space="preserve">, </w:t>
      </w:r>
      <w:hyperlink w:anchor="ref-stefanowitsch_collostructions_2003">
        <w:r w:rsidRPr="008D5DBF">
          <w:rPr>
            <w:rStyle w:val="Hyperlink"/>
            <w:sz w:val="21"/>
            <w:szCs w:val="21"/>
          </w:rPr>
          <w:t>2003</w:t>
        </w:r>
      </w:hyperlink>
      <w:r w:rsidRPr="008D5DBF">
        <w:rPr>
          <w:szCs w:val="21"/>
        </w:rPr>
        <w:t>). CA sejauh ini merupakan salah satu metode kuantitatif yang lazim digunakan dalam kajian linguistik yang dilandasi atas Pendekatan Konstruksional, seperti Tatabahasa Konstruksi (</w:t>
      </w:r>
      <w:r w:rsidRPr="008D5DBF">
        <w:rPr>
          <w:i/>
          <w:szCs w:val="21"/>
        </w:rPr>
        <w:t>Construction Grammar</w:t>
      </w:r>
      <w:r w:rsidRPr="008D5DBF">
        <w:rPr>
          <w:szCs w:val="21"/>
        </w:rPr>
        <w:t xml:space="preserve">) (Stefanowitsch, </w:t>
      </w:r>
      <w:hyperlink w:anchor="ref-hoffmann_collostructional_2013">
        <w:r w:rsidRPr="008D5DBF">
          <w:rPr>
            <w:rStyle w:val="Hyperlink"/>
            <w:sz w:val="21"/>
            <w:szCs w:val="21"/>
          </w:rPr>
          <w:t>2013</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33CEE0"/>
    <w:multiLevelType w:val="multilevel"/>
    <w:tmpl w:val="07DAA0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6B640"/>
    <w:multiLevelType w:val="multilevel"/>
    <w:tmpl w:val="DFE61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CDCD47B"/>
    <w:multiLevelType w:val="multilevel"/>
    <w:tmpl w:val="3858F3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5AE8D97"/>
    <w:multiLevelType w:val="multilevel"/>
    <w:tmpl w:val="8ED88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47CCA8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148ED31E"/>
    <w:lvl w:ilvl="0">
      <w:start w:val="1"/>
      <w:numFmt w:val="decimal"/>
      <w:lvlText w:val="%1."/>
      <w:lvlJc w:val="left"/>
      <w:pPr>
        <w:tabs>
          <w:tab w:val="num" w:pos="1492"/>
        </w:tabs>
        <w:ind w:left="1492" w:hanging="360"/>
      </w:pPr>
    </w:lvl>
  </w:abstractNum>
  <w:abstractNum w:abstractNumId="6" w15:restartNumberingAfterBreak="0">
    <w:nsid w:val="FFFFFF7D"/>
    <w:multiLevelType w:val="singleLevel"/>
    <w:tmpl w:val="C568DD12"/>
    <w:lvl w:ilvl="0">
      <w:start w:val="1"/>
      <w:numFmt w:val="decimal"/>
      <w:lvlText w:val="%1."/>
      <w:lvlJc w:val="left"/>
      <w:pPr>
        <w:tabs>
          <w:tab w:val="num" w:pos="1209"/>
        </w:tabs>
        <w:ind w:left="1209" w:hanging="360"/>
      </w:pPr>
    </w:lvl>
  </w:abstractNum>
  <w:abstractNum w:abstractNumId="7" w15:restartNumberingAfterBreak="0">
    <w:nsid w:val="FFFFFF7E"/>
    <w:multiLevelType w:val="singleLevel"/>
    <w:tmpl w:val="BF966CDA"/>
    <w:lvl w:ilvl="0">
      <w:start w:val="1"/>
      <w:numFmt w:val="decimal"/>
      <w:lvlText w:val="%1."/>
      <w:lvlJc w:val="left"/>
      <w:pPr>
        <w:tabs>
          <w:tab w:val="num" w:pos="926"/>
        </w:tabs>
        <w:ind w:left="926" w:hanging="360"/>
      </w:pPr>
    </w:lvl>
  </w:abstractNum>
  <w:abstractNum w:abstractNumId="8" w15:restartNumberingAfterBreak="0">
    <w:nsid w:val="FFFFFF7F"/>
    <w:multiLevelType w:val="singleLevel"/>
    <w:tmpl w:val="69BA7F7C"/>
    <w:lvl w:ilvl="0">
      <w:start w:val="1"/>
      <w:numFmt w:val="decimal"/>
      <w:lvlText w:val="%1."/>
      <w:lvlJc w:val="left"/>
      <w:pPr>
        <w:tabs>
          <w:tab w:val="num" w:pos="643"/>
        </w:tabs>
        <w:ind w:left="643" w:hanging="360"/>
      </w:pPr>
    </w:lvl>
  </w:abstractNum>
  <w:abstractNum w:abstractNumId="9" w15:restartNumberingAfterBreak="0">
    <w:nsid w:val="FFFFFF80"/>
    <w:multiLevelType w:val="singleLevel"/>
    <w:tmpl w:val="B044CB5E"/>
    <w:lvl w:ilvl="0">
      <w:start w:val="1"/>
      <w:numFmt w:val="bullet"/>
      <w:lvlText w:val=""/>
      <w:lvlJc w:val="left"/>
      <w:pPr>
        <w:tabs>
          <w:tab w:val="num" w:pos="1492"/>
        </w:tabs>
        <w:ind w:left="1492" w:hanging="360"/>
      </w:pPr>
      <w:rPr>
        <w:rFonts w:ascii="Symbol" w:hAnsi="Symbol" w:hint="default"/>
      </w:rPr>
    </w:lvl>
  </w:abstractNum>
  <w:abstractNum w:abstractNumId="10" w15:restartNumberingAfterBreak="0">
    <w:nsid w:val="FFFFFF81"/>
    <w:multiLevelType w:val="singleLevel"/>
    <w:tmpl w:val="4B8CC1C2"/>
    <w:lvl w:ilvl="0">
      <w:start w:val="1"/>
      <w:numFmt w:val="bullet"/>
      <w:lvlText w:val=""/>
      <w:lvlJc w:val="left"/>
      <w:pPr>
        <w:tabs>
          <w:tab w:val="num" w:pos="1209"/>
        </w:tabs>
        <w:ind w:left="1209" w:hanging="360"/>
      </w:pPr>
      <w:rPr>
        <w:rFonts w:ascii="Symbol" w:hAnsi="Symbol" w:hint="default"/>
      </w:rPr>
    </w:lvl>
  </w:abstractNum>
  <w:abstractNum w:abstractNumId="11" w15:restartNumberingAfterBreak="0">
    <w:nsid w:val="FFFFFF82"/>
    <w:multiLevelType w:val="singleLevel"/>
    <w:tmpl w:val="C21E70FC"/>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FFFFFF83"/>
    <w:multiLevelType w:val="singleLevel"/>
    <w:tmpl w:val="EA00B758"/>
    <w:lvl w:ilvl="0">
      <w:start w:val="1"/>
      <w:numFmt w:val="bullet"/>
      <w:lvlText w:val=""/>
      <w:lvlJc w:val="left"/>
      <w:pPr>
        <w:tabs>
          <w:tab w:val="num" w:pos="643"/>
        </w:tabs>
        <w:ind w:left="643" w:hanging="360"/>
      </w:pPr>
      <w:rPr>
        <w:rFonts w:ascii="Symbol" w:hAnsi="Symbol" w:hint="default"/>
      </w:rPr>
    </w:lvl>
  </w:abstractNum>
  <w:abstractNum w:abstractNumId="13" w15:restartNumberingAfterBreak="0">
    <w:nsid w:val="FFFFFF88"/>
    <w:multiLevelType w:val="singleLevel"/>
    <w:tmpl w:val="29CE432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5BF89A5C"/>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4C030C7"/>
    <w:multiLevelType w:val="multilevel"/>
    <w:tmpl w:val="426A31B6"/>
    <w:lvl w:ilvl="0">
      <w:start w:val="1"/>
      <w:numFmt w:val="upperRoman"/>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7DB7853F"/>
    <w:multiLevelType w:val="multilevel"/>
    <w:tmpl w:val="3B44E9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6"/>
  </w:num>
  <w:num w:numId="3">
    <w:abstractNumId w:val="16"/>
  </w:num>
  <w:num w:numId="4">
    <w:abstractNumId w:val="16"/>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C4A"/>
    <w:rsid w:val="00141404"/>
    <w:rsid w:val="002B61C3"/>
    <w:rsid w:val="003132B9"/>
    <w:rsid w:val="004E29B3"/>
    <w:rsid w:val="004F6AAA"/>
    <w:rsid w:val="005622E4"/>
    <w:rsid w:val="00590D07"/>
    <w:rsid w:val="005E1A44"/>
    <w:rsid w:val="005E7B33"/>
    <w:rsid w:val="006639DA"/>
    <w:rsid w:val="007364DD"/>
    <w:rsid w:val="00784D58"/>
    <w:rsid w:val="00786153"/>
    <w:rsid w:val="008D5DBF"/>
    <w:rsid w:val="008D6863"/>
    <w:rsid w:val="008F253C"/>
    <w:rsid w:val="00901E53"/>
    <w:rsid w:val="00922B6F"/>
    <w:rsid w:val="009A2450"/>
    <w:rsid w:val="009D486C"/>
    <w:rsid w:val="009E1AFA"/>
    <w:rsid w:val="009F5147"/>
    <w:rsid w:val="00AE06DB"/>
    <w:rsid w:val="00AF769E"/>
    <w:rsid w:val="00B8211C"/>
    <w:rsid w:val="00B86B75"/>
    <w:rsid w:val="00BC48D5"/>
    <w:rsid w:val="00BF5B66"/>
    <w:rsid w:val="00C10F02"/>
    <w:rsid w:val="00C36279"/>
    <w:rsid w:val="00CA23FB"/>
    <w:rsid w:val="00CA3C2A"/>
    <w:rsid w:val="00CC306A"/>
    <w:rsid w:val="00CF5CFD"/>
    <w:rsid w:val="00E315A3"/>
    <w:rsid w:val="00E33D39"/>
    <w:rsid w:val="00E355DF"/>
    <w:rsid w:val="00ED67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6012C"/>
  <w15:docId w15:val="{865C8C90-4682-F646-8429-C876C471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7364DD"/>
    <w:pPr>
      <w:keepNext/>
      <w:keepLines/>
      <w:numPr>
        <w:numId w:val="15"/>
      </w:numPr>
      <w:spacing w:before="240" w:after="120"/>
      <w:ind w:left="431" w:hanging="431"/>
      <w:contextualSpacing/>
      <w:outlineLvl w:val="0"/>
    </w:pPr>
    <w:rPr>
      <w:rFonts w:ascii="Times New Roman" w:eastAsiaTheme="majorEastAsia" w:hAnsi="Times New Roman" w:cs="Times New Roman (Headings CS)"/>
      <w:b/>
      <w:bCs/>
      <w:caps/>
      <w:color w:val="000000" w:themeColor="text1"/>
      <w:sz w:val="28"/>
      <w:szCs w:val="32"/>
    </w:rPr>
  </w:style>
  <w:style w:type="paragraph" w:styleId="Heading2">
    <w:name w:val="heading 2"/>
    <w:basedOn w:val="Normal"/>
    <w:next w:val="BodyText"/>
    <w:uiPriority w:val="9"/>
    <w:unhideWhenUsed/>
    <w:qFormat/>
    <w:rsid w:val="00C10F02"/>
    <w:pPr>
      <w:keepNext/>
      <w:keepLines/>
      <w:numPr>
        <w:ilvl w:val="1"/>
        <w:numId w:val="15"/>
      </w:numPr>
      <w:spacing w:after="0"/>
      <w:ind w:left="578" w:hanging="578"/>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pPr>
      <w:keepNext/>
      <w:keepLines/>
      <w:numPr>
        <w:ilvl w:val="2"/>
        <w:numId w:val="15"/>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5"/>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7039A4"/>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039A4"/>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039A4"/>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039A4"/>
    <w:pPr>
      <w:spacing w:before="180" w:after="180"/>
    </w:pPr>
    <w:rPr>
      <w:rFonts w:ascii="Times New Roman" w:hAnsi="Times New Roman"/>
    </w:rPr>
  </w:style>
  <w:style w:type="paragraph" w:customStyle="1" w:styleId="FirstParagraph">
    <w:name w:val="First Paragraph"/>
    <w:basedOn w:val="BodyText"/>
    <w:next w:val="BodyText"/>
    <w:qFormat/>
    <w:rsid w:val="00E355DF"/>
    <w:pPr>
      <w:spacing w:before="120"/>
    </w:pPr>
  </w:style>
  <w:style w:type="paragraph" w:customStyle="1" w:styleId="Compact">
    <w:name w:val="Compact"/>
    <w:basedOn w:val="BodyText"/>
    <w:qFormat/>
    <w:pPr>
      <w:spacing w:before="36" w:after="36"/>
    </w:pPr>
  </w:style>
  <w:style w:type="paragraph" w:styleId="Title">
    <w:name w:val="Title"/>
    <w:basedOn w:val="Normal"/>
    <w:next w:val="BodyText"/>
    <w:qFormat/>
    <w:rsid w:val="0061064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qFormat/>
    <w:rsid w:val="00AF6A23"/>
    <w:pPr>
      <w:keepNext/>
      <w:keepLines/>
      <w:contextualSpacing/>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622E4"/>
    <w:pPr>
      <w:spacing w:after="0"/>
      <w:ind w:left="680" w:hanging="680"/>
    </w:pPr>
    <w:rPr>
      <w:rFonts w:ascii="Times New Roman" w:hAnsi="Times New Roman"/>
    </w:rPr>
  </w:style>
  <w:style w:type="paragraph" w:styleId="BlockText">
    <w:name w:val="Block Text"/>
    <w:basedOn w:val="BodyText"/>
    <w:next w:val="BodyText"/>
    <w:uiPriority w:val="9"/>
    <w:unhideWhenUsed/>
    <w:qFormat/>
    <w:rsid w:val="00CC306A"/>
    <w:pPr>
      <w:spacing w:before="100" w:after="100"/>
      <w:ind w:left="567" w:right="567"/>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22C4A"/>
    <w:pPr>
      <w:spacing w:after="240"/>
      <w:ind w:left="397" w:hanging="397"/>
      <w:contextualSpacing/>
    </w:pPr>
    <w:rPr>
      <w:rFonts w:ascii="Times New Roman" w:hAnsi="Times New Roman"/>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39A4"/>
    <w:pPr>
      <w:keepNext/>
    </w:pPr>
    <w:rPr>
      <w:rFonts w:ascii="Times New Roman" w:hAnsi="Times New Roman"/>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211C"/>
    <w:rPr>
      <w:rFonts w:ascii="Consolas" w:hAnsi="Consolas"/>
      <w:sz w:val="21"/>
    </w:rPr>
  </w:style>
  <w:style w:type="character" w:styleId="FootnoteReference">
    <w:name w:val="footnote reference"/>
    <w:basedOn w:val="CaptionChar"/>
    <w:rPr>
      <w:vertAlign w:val="superscript"/>
    </w:rPr>
  </w:style>
  <w:style w:type="character" w:styleId="Hyperlink">
    <w:name w:val="Hyperlink"/>
    <w:basedOn w:val="CaptionChar"/>
    <w:rsid w:val="009F5147"/>
    <w:rPr>
      <w:rFonts w:ascii="Times New Roman" w:hAnsi="Times New Roman"/>
      <w:color w:val="002060"/>
      <w:sz w:val="24"/>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8211C"/>
    <w:pPr>
      <w:wordWrap w:val="0"/>
    </w:pPr>
    <w:rPr>
      <w:rFonts w:ascii="Consolas" w:hAnsi="Consolas"/>
      <w:sz w:val="21"/>
    </w:rPr>
  </w:style>
  <w:style w:type="character" w:customStyle="1" w:styleId="KeywordTok">
    <w:name w:val="KeywordTok"/>
    <w:basedOn w:val="VerbatimChar"/>
    <w:rsid w:val="00C10F02"/>
    <w:rPr>
      <w:rFonts w:ascii="Consolas" w:hAnsi="Consolas"/>
      <w:b/>
      <w:color w:val="204A87"/>
      <w:sz w:val="22"/>
      <w:bdr w:val="none" w:sz="0" w:space="0" w:color="auto"/>
      <w:shd w:val="clear" w:color="auto" w:fill="auto"/>
    </w:rPr>
  </w:style>
  <w:style w:type="character" w:customStyle="1" w:styleId="DataTypeTok">
    <w:name w:val="DataTypeTok"/>
    <w:basedOn w:val="VerbatimChar"/>
    <w:rsid w:val="008D5DBF"/>
    <w:rPr>
      <w:rFonts w:ascii="Consolas" w:hAnsi="Consolas"/>
      <w:color w:val="204A87"/>
      <w:sz w:val="22"/>
      <w:bdr w:val="none" w:sz="0" w:space="0" w:color="auto"/>
      <w:shd w:val="clear" w:color="auto" w:fill="auto"/>
    </w:rPr>
  </w:style>
  <w:style w:type="character" w:customStyle="1" w:styleId="DecValTok">
    <w:name w:val="DecValTok"/>
    <w:basedOn w:val="VerbatimChar"/>
    <w:rsid w:val="008D5DBF"/>
    <w:rPr>
      <w:rFonts w:ascii="Consolas" w:hAnsi="Consolas"/>
      <w:color w:val="0000CF"/>
      <w:sz w:val="22"/>
      <w:bdr w:val="none" w:sz="0" w:space="0" w:color="auto"/>
      <w:shd w:val="clear" w:color="auto" w:fill="auto"/>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sid w:val="008D5DBF"/>
    <w:rPr>
      <w:rFonts w:ascii="Consolas" w:hAnsi="Consolas"/>
      <w:color w:val="4E9A06"/>
      <w:sz w:val="22"/>
      <w:bdr w:val="none" w:sz="0" w:space="0" w:color="auto"/>
      <w:shd w:val="clear" w:color="auto" w:fill="auto"/>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8D5DBF"/>
    <w:rPr>
      <w:rFonts w:ascii="Consolas" w:hAnsi="Consolas"/>
      <w:i/>
      <w:color w:val="8F5902"/>
      <w:sz w:val="22"/>
      <w:bdr w:val="none" w:sz="0" w:space="0" w:color="auto"/>
      <w:shd w:val="clear" w:color="auto" w:fill="auto"/>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sid w:val="008D5DBF"/>
    <w:rPr>
      <w:rFonts w:ascii="Consolas" w:hAnsi="Consolas"/>
      <w:color w:val="8F5902"/>
      <w:sz w:val="22"/>
      <w:bdr w:val="none" w:sz="0" w:space="0" w:color="auto"/>
      <w:shd w:val="clear" w:color="auto" w:fill="auto"/>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sid w:val="008D5DBF"/>
    <w:rPr>
      <w:rFonts w:ascii="Consolas" w:hAnsi="Consolas"/>
      <w:b/>
      <w:color w:val="CE5C00"/>
      <w:sz w:val="22"/>
      <w:bdr w:val="none" w:sz="0" w:space="0" w:color="auto"/>
      <w:shd w:val="clear" w:color="auto" w:fill="auto"/>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8D5DBF"/>
    <w:rPr>
      <w:rFonts w:ascii="Consolas" w:hAnsi="Consolas"/>
      <w:sz w:val="22"/>
      <w:bdr w:val="none" w:sz="0" w:space="0" w:color="auto"/>
      <w:shd w:val="clear" w:color="auto" w:fill="auto"/>
    </w:rPr>
  </w:style>
  <w:style w:type="character" w:customStyle="1" w:styleId="BodyTextChar">
    <w:name w:val="Body Text Char"/>
    <w:basedOn w:val="DefaultParagraphFont"/>
    <w:link w:val="BodyText"/>
    <w:rsid w:val="007039A4"/>
    <w:rPr>
      <w:rFonts w:ascii="Times New Roman" w:hAnsi="Times New Roman"/>
    </w:rPr>
  </w:style>
  <w:style w:type="character" w:customStyle="1" w:styleId="Heading7Char">
    <w:name w:val="Heading 7 Char"/>
    <w:basedOn w:val="DefaultParagraphFont"/>
    <w:link w:val="Heading7"/>
    <w:rsid w:val="007039A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039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039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asvdoku.informatik.uni-leipzig.de/corpora/data/uploads/corpus-building-vol7-ind.pdf" TargetMode="External"/><Relationship Id="rId13" Type="http://schemas.openxmlformats.org/officeDocument/2006/relationships/hyperlink" Target="https://doi.org/10.4225/03/5a7ee2ac84303" TargetMode="External"/><Relationship Id="rId3" Type="http://schemas.openxmlformats.org/officeDocument/2006/relationships/settings" Target="settings.xml"/><Relationship Id="rId7" Type="http://schemas.openxmlformats.org/officeDocument/2006/relationships/hyperlink" Target="http://ucrel.lancs.ac.uk/publications/CL2007/paper/190_Paper.pdf" TargetMode="External"/><Relationship Id="rId12" Type="http://schemas.openxmlformats.org/officeDocument/2006/relationships/hyperlink" Target="https://doi.org/10.5281/zenodo.143633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6180/5b7b9c5e3277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4225/03/592e2ba2e6ea7" TargetMode="External"/><Relationship Id="rId4" Type="http://schemas.openxmlformats.org/officeDocument/2006/relationships/webSettings" Target="webSettings.xml"/><Relationship Id="rId9" Type="http://schemas.openxmlformats.org/officeDocument/2006/relationships/hyperlink" Target="https://doi.org/10.4225/03/58578ddba1fd2" TargetMode="External"/><Relationship Id="rId14" Type="http://schemas.openxmlformats.org/officeDocument/2006/relationships/hyperlink" Target="https://doi.org/10.1093/oxfordhb/9780195396683.013.0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Analisis Koleksem Khas dan potensinya untuk kajian sinonim konstruksional di Bahasa Indonesia</vt:lpstr>
    </vt:vector>
  </TitlesOfParts>
  <Company>Monash University</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Koleksem Khas dan potensinya untuk kajian sinonim konstruksional di Bahasa Indonesia</dc:title>
  <dc:creator>Gede Primahadi Wijaya Rajeg &amp; I Made Rajeg</dc:creator>
  <cp:lastModifiedBy>Gede Primahadi Wijaya Rajeg</cp:lastModifiedBy>
  <cp:revision>17</cp:revision>
  <dcterms:created xsi:type="dcterms:W3CDTF">2018-11-15T21:50:00Z</dcterms:created>
  <dcterms:modified xsi:type="dcterms:W3CDTF">2018-11-21T07:53:00Z</dcterms:modified>
</cp:coreProperties>
</file>