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6AC6C" w14:textId="77777777" w:rsidR="00A012BB" w:rsidRDefault="00B8321E">
      <w:pPr>
        <w:pStyle w:val="Title"/>
      </w:pPr>
      <w:r>
        <w:t>Contrasting the semantics of Indonesian -</w:t>
      </w:r>
      <w:r>
        <w:rPr>
          <w:i/>
        </w:rPr>
        <w:t>kan</w:t>
      </w:r>
      <w:r>
        <w:t xml:space="preserve"> &amp; -</w:t>
      </w:r>
      <w:r>
        <w:rPr>
          <w:i/>
        </w:rPr>
        <w:t>i</w:t>
      </w:r>
      <w:r>
        <w:t xml:space="preserve"> verb pairs: A usage-based, constructional approach</w:t>
      </w:r>
    </w:p>
    <w:p w14:paraId="44917291" w14:textId="77777777" w:rsidR="00A012BB" w:rsidRDefault="00B8321E">
      <w:pPr>
        <w:pStyle w:val="Author"/>
      </w:pPr>
      <w:r>
        <w:t>Gede Primahadi Wijaya Rajeg dan I Made Rajeg</w:t>
      </w:r>
    </w:p>
    <w:p w14:paraId="1AE4FB85" w14:textId="77777777" w:rsidR="00A012BB" w:rsidRDefault="00B8321E">
      <w:pPr>
        <w:pStyle w:val="Date"/>
      </w:pPr>
      <w:r>
        <w:t>Created 21 January, 2020; Last Update 30 January, 2020</w:t>
      </w:r>
    </w:p>
    <w:p w14:paraId="5D91E4CC" w14:textId="77777777" w:rsidR="00A012BB" w:rsidRDefault="00B8321E">
      <w:pPr>
        <w:pStyle w:val="FirstParagraph"/>
      </w:pPr>
      <w:r>
        <w:rPr>
          <w:b/>
        </w:rPr>
        <w:t>Abstract</w:t>
      </w:r>
    </w:p>
    <w:p w14:paraId="41034AE3" w14:textId="77777777" w:rsidR="00A012BB" w:rsidRDefault="00B8321E">
      <w:pPr>
        <w:pStyle w:val="BodyText"/>
      </w:pPr>
      <w:r>
        <w:t xml:space="preserve">This paper demonstrates a quantitative method in usage-based, Construction Grammar, namely </w:t>
      </w:r>
      <w:r>
        <w:rPr>
          <w:i/>
        </w:rPr>
        <w:t>Collostructional Analysis</w:t>
      </w:r>
      <w:r>
        <w:t xml:space="preserve">. </w:t>
      </w:r>
    </w:p>
    <w:p w14:paraId="365CCC12" w14:textId="77777777" w:rsidR="00A012BB" w:rsidRDefault="00B8321E">
      <w:pPr>
        <w:pStyle w:val="Heading1"/>
      </w:pPr>
      <w:bookmarkStart w:id="0" w:name="intro"/>
      <w:r>
        <w:t>Introduction</w:t>
      </w:r>
      <w:bookmarkEnd w:id="0"/>
    </w:p>
    <w:p w14:paraId="210D8DB5" w14:textId="77777777" w:rsidR="00A012BB" w:rsidRDefault="00B8321E">
      <w:pPr>
        <w:pStyle w:val="FirstParagraph"/>
      </w:pPr>
      <w:r>
        <w:t>Several studies with different theoretical persuasions have attempted to analyse the intricate behaviour of Indonesian verbal suffixes -</w:t>
      </w:r>
      <w:r>
        <w:rPr>
          <w:i/>
        </w:rPr>
        <w:t>kan</w:t>
      </w:r>
      <w:r>
        <w:t xml:space="preserve"> and -</w:t>
      </w:r>
      <w:r>
        <w:rPr>
          <w:i/>
        </w:rPr>
        <w:t>i</w:t>
      </w:r>
      <w:r>
        <w:t xml:space="preserve"> (Arka, 1993; Arka et al., 2009; Cole &amp; Son, 2004; Kroeger, 2007). </w:t>
      </w:r>
    </w:p>
    <w:p w14:paraId="200210F4" w14:textId="77777777" w:rsidR="00A012BB" w:rsidRDefault="00B8321E">
      <w:pPr>
        <w:pStyle w:val="BodyText"/>
      </w:pPr>
      <w:r>
        <w:t>Another area of inquiry is the semantic (dis)similarity between -</w:t>
      </w:r>
      <w:r>
        <w:rPr>
          <w:i/>
        </w:rPr>
        <w:t>kan</w:t>
      </w:r>
      <w:r>
        <w:t xml:space="preserve"> and -</w:t>
      </w:r>
      <w:r>
        <w:rPr>
          <w:i/>
        </w:rPr>
        <w:t>i</w:t>
      </w:r>
      <w:r>
        <w:t xml:space="preserve"> verb pairs, that is, verb partners with the same root co-occurring with the two suffixes (e.g., </w:t>
      </w:r>
      <w:r>
        <w:rPr>
          <w:i/>
        </w:rPr>
        <w:t>melangkahi</w:t>
      </w:r>
      <w:r>
        <w:t xml:space="preserve"> ‘to step over’ and </w:t>
      </w:r>
      <w:r>
        <w:rPr>
          <w:i/>
        </w:rPr>
        <w:t>melangkahkan</w:t>
      </w:r>
      <w:r>
        <w:t xml:space="preserve"> ‘to step (the foot) forward’ based on noun root </w:t>
      </w:r>
      <w:proofErr w:type="spellStart"/>
      <w:r>
        <w:rPr>
          <w:i/>
        </w:rPr>
        <w:t>langkah</w:t>
      </w:r>
      <w:proofErr w:type="spellEnd"/>
      <w:r>
        <w:t xml:space="preserve"> ‘step’).</w:t>
      </w:r>
    </w:p>
    <w:p w14:paraId="0A511CF6" w14:textId="77777777" w:rsidR="00A012BB" w:rsidRDefault="00B8321E">
      <w:pPr>
        <w:pStyle w:val="BlockText"/>
      </w:pPr>
      <w:r>
        <w:t xml:space="preserve">“with a number of </w:t>
      </w:r>
      <w:proofErr w:type="gramStart"/>
      <w:r>
        <w:t>words</w:t>
      </w:r>
      <w:proofErr w:type="gramEnd"/>
      <w:r>
        <w:t xml:space="preserve"> the distinction between -</w:t>
      </w:r>
      <w:r>
        <w:rPr>
          <w:b/>
        </w:rPr>
        <w:t>kan</w:t>
      </w:r>
      <w:r>
        <w:t xml:space="preserve"> and -</w:t>
      </w:r>
      <w:r>
        <w:rPr>
          <w:b/>
        </w:rPr>
        <w:t>i</w:t>
      </w:r>
      <w:r>
        <w:t xml:space="preserve"> is blurred in </w:t>
      </w:r>
      <w:r>
        <w:rPr>
          <w:i/>
        </w:rPr>
        <w:t>common usage</w:t>
      </w:r>
      <w:r>
        <w:t>. In some cases, both -</w:t>
      </w:r>
      <w:r>
        <w:rPr>
          <w:b/>
        </w:rPr>
        <w:t>i</w:t>
      </w:r>
      <w:r>
        <w:t xml:space="preserve"> and -</w:t>
      </w:r>
      <w:r>
        <w:rPr>
          <w:b/>
        </w:rPr>
        <w:t>kan</w:t>
      </w:r>
      <w:r>
        <w:t xml:space="preserve"> occur with the same meaning. With some there is a recipient or locative object, while with others the object is patient.” (italics ours).</w:t>
      </w:r>
    </w:p>
    <w:p w14:paraId="64D0C54F" w14:textId="77777777" w:rsidR="00A012BB" w:rsidRDefault="00A012BB">
      <w:pPr>
        <w:pStyle w:val="BodyText"/>
      </w:pPr>
    </w:p>
    <w:p w14:paraId="382E4D87" w14:textId="77777777" w:rsidR="00A012BB" w:rsidRDefault="00B8321E" w:rsidP="008A7320">
      <w:pPr>
        <w:pStyle w:val="Heading2"/>
      </w:pPr>
      <w:bookmarkStart w:id="1" w:name="cxg"/>
      <w:r>
        <w:t>Usage-based model of language and Construction Grammar</w:t>
      </w:r>
      <w:bookmarkEnd w:id="1"/>
    </w:p>
    <w:p w14:paraId="6361081C" w14:textId="77777777" w:rsidR="00A012BB" w:rsidRDefault="00CF1BB9">
      <w:pPr>
        <w:pStyle w:val="BodyText"/>
      </w:pPr>
      <w:hyperlink w:anchor="crosstab-schema-new">
        <w:r w:rsidR="00B8321E">
          <w:rPr>
            <w:rStyle w:val="Hyperlink"/>
          </w:rPr>
          <w:t>Table 1</w:t>
        </w:r>
      </w:hyperlink>
      <w:r w:rsidR="00B8321E">
        <w:t xml:space="preserve"> shows the schematic crosstabulation design to calculate the mutual association strength (i.e., degree of collocation strength) between a word and construction (in our case, between a given verb and its R1 collocates) (cf. Stefanowitsch &amp; Gries, 2003, pp. 218–219; Stefanowitsch, 2013).</w:t>
      </w:r>
    </w:p>
    <w:p w14:paraId="1C8112BC" w14:textId="77777777" w:rsidR="00A012BB" w:rsidRDefault="00B8321E">
      <w:pPr>
        <w:pStyle w:val="TableCaption"/>
      </w:pPr>
      <w:r>
        <w:t>Table 1: crosstabulation design for calculating association strength between a word and a construction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1: crosstabulation design for calculating association strength between a word and a construction"/>
      </w:tblPr>
      <w:tblGrid>
        <w:gridCol w:w="2256"/>
        <w:gridCol w:w="1936"/>
        <w:gridCol w:w="1416"/>
        <w:gridCol w:w="1076"/>
      </w:tblGrid>
      <w:tr w:rsidR="00A012BB" w14:paraId="04C1376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B873BE" w14:textId="77777777" w:rsidR="00A012BB" w:rsidRDefault="00A012BB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3CF167" w14:textId="77777777" w:rsidR="00A012BB" w:rsidRDefault="00B8321E">
            <w:pPr>
              <w:pStyle w:val="Compact"/>
              <w:jc w:val="left"/>
            </w:pPr>
            <w:r>
              <w:t>word/collocate_X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05CACB" w14:textId="77777777" w:rsidR="00A012BB" w:rsidRDefault="00B8321E">
            <w:pPr>
              <w:pStyle w:val="Compact"/>
              <w:jc w:val="left"/>
            </w:pPr>
            <w:r>
              <w:t>other_words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41A770" w14:textId="77777777" w:rsidR="00A012BB" w:rsidRDefault="00B8321E">
            <w:pPr>
              <w:pStyle w:val="Compact"/>
              <w:jc w:val="left"/>
            </w:pPr>
            <w:r>
              <w:t>Sum</w:t>
            </w:r>
          </w:p>
        </w:tc>
      </w:tr>
      <w:tr w:rsidR="00A012BB" w14:paraId="442AC596" w14:textId="77777777">
        <w:tc>
          <w:tcPr>
            <w:tcW w:w="0" w:type="auto"/>
          </w:tcPr>
          <w:p w14:paraId="03780BDF" w14:textId="77777777" w:rsidR="00A012BB" w:rsidRDefault="00B8321E">
            <w:pPr>
              <w:pStyle w:val="Compact"/>
              <w:jc w:val="left"/>
            </w:pPr>
            <w:r>
              <w:t>construction/word_X</w:t>
            </w:r>
          </w:p>
        </w:tc>
        <w:tc>
          <w:tcPr>
            <w:tcW w:w="0" w:type="auto"/>
          </w:tcPr>
          <w:p w14:paraId="2F6C1120" w14:textId="77777777" w:rsidR="00A012BB" w:rsidRDefault="00B8321E">
            <w:pPr>
              <w:pStyle w:val="Compact"/>
              <w:jc w:val="left"/>
            </w:pPr>
            <w:r>
              <w:t>a</w:t>
            </w:r>
          </w:p>
        </w:tc>
        <w:tc>
          <w:tcPr>
            <w:tcW w:w="0" w:type="auto"/>
          </w:tcPr>
          <w:p w14:paraId="5FD9CB6B" w14:textId="77777777" w:rsidR="00A012BB" w:rsidRDefault="00B8321E">
            <w:pPr>
              <w:pStyle w:val="Compact"/>
              <w:jc w:val="left"/>
            </w:pPr>
            <w:r>
              <w:t>c</w:t>
            </w:r>
          </w:p>
        </w:tc>
        <w:tc>
          <w:tcPr>
            <w:tcW w:w="0" w:type="auto"/>
          </w:tcPr>
          <w:p w14:paraId="415DBD0F" w14:textId="77777777" w:rsidR="00A012BB" w:rsidRDefault="00B8321E">
            <w:pPr>
              <w:pStyle w:val="Compact"/>
              <w:jc w:val="left"/>
            </w:pPr>
            <w:r>
              <w:t>a+c</w:t>
            </w:r>
          </w:p>
        </w:tc>
      </w:tr>
      <w:tr w:rsidR="00A012BB" w14:paraId="297FAB66" w14:textId="77777777">
        <w:tc>
          <w:tcPr>
            <w:tcW w:w="0" w:type="auto"/>
          </w:tcPr>
          <w:p w14:paraId="37EADCDD" w14:textId="77777777" w:rsidR="00A012BB" w:rsidRDefault="00B8321E">
            <w:pPr>
              <w:pStyle w:val="Compact"/>
              <w:jc w:val="left"/>
            </w:pPr>
            <w:r>
              <w:t>elsewhere</w:t>
            </w:r>
          </w:p>
        </w:tc>
        <w:tc>
          <w:tcPr>
            <w:tcW w:w="0" w:type="auto"/>
          </w:tcPr>
          <w:p w14:paraId="4827EE2A" w14:textId="77777777" w:rsidR="00A012BB" w:rsidRDefault="00B8321E">
            <w:pPr>
              <w:pStyle w:val="Compact"/>
              <w:jc w:val="left"/>
            </w:pPr>
            <w:r>
              <w:t>b</w:t>
            </w:r>
          </w:p>
        </w:tc>
        <w:tc>
          <w:tcPr>
            <w:tcW w:w="0" w:type="auto"/>
          </w:tcPr>
          <w:p w14:paraId="3EE89FF8" w14:textId="77777777" w:rsidR="00A012BB" w:rsidRDefault="00B8321E">
            <w:pPr>
              <w:pStyle w:val="Compact"/>
              <w:jc w:val="left"/>
            </w:pPr>
            <w:r>
              <w:t>d</w:t>
            </w:r>
          </w:p>
        </w:tc>
        <w:tc>
          <w:tcPr>
            <w:tcW w:w="0" w:type="auto"/>
          </w:tcPr>
          <w:p w14:paraId="7D4DB758" w14:textId="77777777" w:rsidR="00A012BB" w:rsidRDefault="00B8321E">
            <w:pPr>
              <w:pStyle w:val="Compact"/>
              <w:jc w:val="left"/>
            </w:pPr>
            <w:r>
              <w:t>b+d</w:t>
            </w:r>
          </w:p>
        </w:tc>
      </w:tr>
      <w:tr w:rsidR="00A012BB" w14:paraId="749E3432" w14:textId="77777777">
        <w:tc>
          <w:tcPr>
            <w:tcW w:w="0" w:type="auto"/>
          </w:tcPr>
          <w:p w14:paraId="21DF286C" w14:textId="77777777" w:rsidR="00A012BB" w:rsidRDefault="00B8321E">
            <w:pPr>
              <w:pStyle w:val="Compact"/>
              <w:jc w:val="left"/>
            </w:pPr>
            <w:r>
              <w:t>Sum</w:t>
            </w:r>
          </w:p>
        </w:tc>
        <w:tc>
          <w:tcPr>
            <w:tcW w:w="0" w:type="auto"/>
          </w:tcPr>
          <w:p w14:paraId="091E6BD6" w14:textId="77777777" w:rsidR="00A012BB" w:rsidRDefault="00B8321E">
            <w:pPr>
              <w:pStyle w:val="Compact"/>
              <w:jc w:val="left"/>
            </w:pPr>
            <w:r>
              <w:t>a+b</w:t>
            </w:r>
          </w:p>
        </w:tc>
        <w:tc>
          <w:tcPr>
            <w:tcW w:w="0" w:type="auto"/>
          </w:tcPr>
          <w:p w14:paraId="6F1BB7D9" w14:textId="77777777" w:rsidR="00A012BB" w:rsidRDefault="00B8321E">
            <w:pPr>
              <w:pStyle w:val="Compact"/>
              <w:jc w:val="left"/>
            </w:pPr>
            <w:r>
              <w:t>c+d</w:t>
            </w:r>
          </w:p>
        </w:tc>
        <w:tc>
          <w:tcPr>
            <w:tcW w:w="0" w:type="auto"/>
          </w:tcPr>
          <w:p w14:paraId="1568E823" w14:textId="77777777" w:rsidR="00A012BB" w:rsidRDefault="00B8321E">
            <w:pPr>
              <w:pStyle w:val="Compact"/>
              <w:jc w:val="left"/>
            </w:pPr>
            <w:r>
              <w:t>a+b+c+d</w:t>
            </w:r>
          </w:p>
        </w:tc>
      </w:tr>
    </w:tbl>
    <w:p w14:paraId="744545D1" w14:textId="443C681B" w:rsidR="00A012BB" w:rsidRDefault="00B8321E">
      <w:pPr>
        <w:pStyle w:val="BodyText"/>
      </w:pPr>
      <w:r>
        <w:t xml:space="preserve">Cell </w:t>
      </w:r>
      <w:r>
        <w:rPr>
          <w:rStyle w:val="VerbatimChar"/>
        </w:rPr>
        <w:t>a</w:t>
      </w:r>
      <w:r>
        <w:t xml:space="preserve"> in </w:t>
      </w:r>
      <w:hyperlink w:anchor="crosstab-schema-new">
        <w:r>
          <w:rPr>
            <w:rStyle w:val="Hyperlink"/>
          </w:rPr>
          <w:t>Table 1</w:t>
        </w:r>
      </w:hyperlink>
      <w:r>
        <w:t xml:space="preserve"> represents frequency of co-occurrence between a given construction/word (first row) and its collocate (first column), and is the cell of interest in determining the direction (positive/negative) of association between the construction and its collocate. Cell </w:t>
      </w:r>
      <w:r>
        <w:rPr>
          <w:rStyle w:val="VerbatimChar"/>
        </w:rPr>
        <w:t>b</w:t>
      </w:r>
      <w:r>
        <w:t xml:space="preserve"> is the frequency of the collocate in other contexts and cell </w:t>
      </w:r>
      <w:r>
        <w:rPr>
          <w:rStyle w:val="VerbatimChar"/>
        </w:rPr>
        <w:t>c</w:t>
      </w:r>
      <w:r>
        <w:t xml:space="preserve"> contains the frequency of the construction with other </w:t>
      </w:r>
      <w:r>
        <w:lastRenderedPageBreak/>
        <w:t xml:space="preserve">words (cf. Stefanowitsch, 2013). Let us now flesh this out with the frequencies required in SCA to measure the association between </w:t>
      </w:r>
      <w:r>
        <w:rPr>
          <w:i/>
        </w:rPr>
        <w:t>mengenakan</w:t>
      </w:r>
      <w:r>
        <w:t xml:space="preserve"> (the target, verbal lexical construction) and </w:t>
      </w:r>
      <w:r>
        <w:rPr>
          <w:i/>
        </w:rPr>
        <w:t>baju</w:t>
      </w:r>
      <w:r>
        <w:t xml:space="preserve"> ‘clothes/apparel’ (the R1 collocate of </w:t>
      </w:r>
      <w:proofErr w:type="spellStart"/>
      <w:r>
        <w:rPr>
          <w:i/>
        </w:rPr>
        <w:t>mengenakan</w:t>
      </w:r>
      <w:proofErr w:type="spellEnd"/>
      <w:r>
        <w:t xml:space="preserve">) (see </w:t>
      </w:r>
      <w:hyperlink w:anchor="fye-on-example-table1">
        <w:r>
          <w:rPr>
            <w:rStyle w:val="Hyperlink"/>
          </w:rPr>
          <w:t>Table 2</w:t>
        </w:r>
      </w:hyperlink>
      <w:r>
        <w:t>)</w:t>
      </w:r>
    </w:p>
    <w:p w14:paraId="2094533F" w14:textId="77777777" w:rsidR="00A012BB" w:rsidRDefault="00B8321E">
      <w:pPr>
        <w:pStyle w:val="BodyText"/>
      </w:pPr>
      <w:r>
        <w:t xml:space="preserve">We can use the </w:t>
      </w:r>
      <w:r>
        <w:rPr>
          <w:rStyle w:val="VerbatimChar"/>
        </w:rPr>
        <w:t>fisher.</w:t>
      </w:r>
      <w:proofErr w:type="gramStart"/>
      <w:r>
        <w:rPr>
          <w:rStyle w:val="VerbatimChar"/>
        </w:rPr>
        <w:t>test(</w:t>
      </w:r>
      <w:proofErr w:type="gramEnd"/>
      <w:r>
        <w:rPr>
          <w:rStyle w:val="VerbatimChar"/>
        </w:rPr>
        <w:t>)</w:t>
      </w:r>
      <w:r>
        <w:t xml:space="preserve"> function (the </w:t>
      </w:r>
      <w:r>
        <w:rPr>
          <w:rStyle w:val="VerbatimChar"/>
        </w:rPr>
        <w:t>alternative</w:t>
      </w:r>
      <w:r>
        <w:t xml:space="preserve"> argument is set to </w:t>
      </w:r>
      <w:r>
        <w:rPr>
          <w:rStyle w:val="VerbatimChar"/>
        </w:rPr>
        <w:t>"greater"</w:t>
      </w:r>
      <w:r>
        <w:t xml:space="preserve"> since the observed frequency of cell </w:t>
      </w:r>
      <w:r>
        <w:rPr>
          <w:rStyle w:val="VerbatimChar"/>
        </w:rPr>
        <w:t>a</w:t>
      </w:r>
      <w:r>
        <w:t xml:space="preserve"> is larger than the expected frequency).</w:t>
      </w:r>
    </w:p>
    <w:p w14:paraId="754A5626" w14:textId="77777777" w:rsidR="00A012BB" w:rsidRDefault="00B8321E">
      <w:pPr>
        <w:pStyle w:val="SourceCode"/>
      </w:pPr>
      <w:r>
        <w:rPr>
          <w:rStyle w:val="CommentTok"/>
        </w:rPr>
        <w:t># create crosstabulation matrix</w:t>
      </w:r>
      <w:r>
        <w:br/>
      </w:r>
      <w:r>
        <w:rPr>
          <w:rStyle w:val="NormalTok"/>
        </w:rPr>
        <w:t>crosstab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83</w:t>
      </w:r>
      <w:r>
        <w:rPr>
          <w:rStyle w:val="NormalTok"/>
        </w:rPr>
        <w:t xml:space="preserve">, </w:t>
      </w:r>
      <w:r>
        <w:rPr>
          <w:rStyle w:val="DecValTok"/>
        </w:rPr>
        <w:t>1552</w:t>
      </w:r>
      <w:r>
        <w:rPr>
          <w:rStyle w:val="NormalTok"/>
        </w:rPr>
        <w:t xml:space="preserve">, </w:t>
      </w:r>
      <w:r>
        <w:rPr>
          <w:rStyle w:val="DecValTok"/>
        </w:rPr>
        <w:t>1017</w:t>
      </w:r>
      <w:r>
        <w:rPr>
          <w:rStyle w:val="NormalTok"/>
        </w:rPr>
        <w:t xml:space="preserve">, </w:t>
      </w:r>
      <w:r>
        <w:rPr>
          <w:rStyle w:val="DecValTok"/>
        </w:rPr>
        <w:t>11884989</w:t>
      </w:r>
      <w:r>
        <w:rPr>
          <w:rStyle w:val="NormalTok"/>
        </w:rPr>
        <w:t xml:space="preserve">),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give column and row names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(crosstab)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"baju"</w:t>
      </w:r>
      <w:r>
        <w:rPr>
          <w:rStyle w:val="NormalTok"/>
        </w:rPr>
        <w:t xml:space="preserve">, </w:t>
      </w:r>
      <w:r>
        <w:rPr>
          <w:rStyle w:val="StringTok"/>
        </w:rPr>
        <w:t>"other_words"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(crosstab)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"mengenakan"</w:t>
      </w:r>
      <w:r>
        <w:rPr>
          <w:rStyle w:val="NormalTok"/>
        </w:rPr>
        <w:t xml:space="preserve">, </w:t>
      </w:r>
      <w:r>
        <w:rPr>
          <w:rStyle w:val="StringTok"/>
        </w:rPr>
        <w:t>"elsewhere"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Run Fisher-Exact test</w:t>
      </w:r>
      <w:r>
        <w:br/>
      </w:r>
      <w:r>
        <w:rPr>
          <w:rStyle w:val="NormalTok"/>
        </w:rPr>
        <w:t>pfye &lt;-</w:t>
      </w:r>
      <w:r>
        <w:rPr>
          <w:rStyle w:val="StringTok"/>
        </w:rPr>
        <w:t xml:space="preserve"> </w:t>
      </w:r>
      <w:r>
        <w:rPr>
          <w:rStyle w:val="KeywordTok"/>
        </w:rPr>
        <w:t>fisher.test</w:t>
      </w:r>
      <w:r>
        <w:rPr>
          <w:rStyle w:val="NormalTok"/>
        </w:rPr>
        <w:t xml:space="preserve">(crosstab,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"greater"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out the probability (i.e., p-value)</w:t>
      </w:r>
      <w:r>
        <w:br/>
      </w:r>
      <w:r>
        <w:rPr>
          <w:rStyle w:val="NormalTok"/>
        </w:rPr>
        <w:t>pfye</w:t>
      </w:r>
      <w:r>
        <w:rPr>
          <w:rStyle w:val="OperatorTok"/>
        </w:rPr>
        <w:t>$</w:t>
      </w:r>
      <w:r>
        <w:rPr>
          <w:rStyle w:val="NormalTok"/>
        </w:rPr>
        <w:t>p.value</w:t>
      </w:r>
    </w:p>
    <w:p w14:paraId="3FD7EDD6" w14:textId="77777777" w:rsidR="00A012BB" w:rsidRDefault="00B8321E">
      <w:pPr>
        <w:pStyle w:val="SourceCode"/>
      </w:pPr>
      <w:r>
        <w:rPr>
          <w:rStyle w:val="VerbatimChar"/>
        </w:rPr>
        <w:t>## [1] 9.412147e-196</w:t>
      </w:r>
    </w:p>
    <w:p w14:paraId="458FC0F2" w14:textId="52FAA30E" w:rsidR="00A012BB" w:rsidRDefault="00B8321E">
      <w:pPr>
        <w:pStyle w:val="FirstParagraph"/>
      </w:pPr>
      <w:r>
        <w:t xml:space="preserve">The output </w:t>
      </w:r>
      <w:r>
        <w:rPr>
          <w:i/>
        </w:rPr>
        <w:t>p</w:t>
      </w:r>
      <w:r>
        <w:t>-value above is extremely small (</w:t>
      </w:r>
      <w:r>
        <w:rPr>
          <w:i/>
        </w:rPr>
        <w:t>p</w:t>
      </w:r>
      <w:r>
        <w:t xml:space="preserve"> &lt; 0.001)</w:t>
      </w:r>
      <w:r>
        <w:rPr>
          <w:rStyle w:val="FootnoteReference"/>
        </w:rPr>
        <w:footnoteReference w:id="1"/>
      </w:r>
      <w:r>
        <w:t xml:space="preserve">. </w:t>
      </w:r>
    </w:p>
    <w:p w14:paraId="19508B23" w14:textId="77777777" w:rsidR="00A012BB" w:rsidRDefault="00B8321E">
      <w:pPr>
        <w:pStyle w:val="FirstParagraph"/>
      </w:pPr>
      <w:r>
        <w:t xml:space="preserve">From the above examples, </w:t>
      </w:r>
      <w:r>
        <w:rPr>
          <w:i/>
        </w:rPr>
        <w:t>mengenai</w:t>
      </w:r>
      <w:r>
        <w:t xml:space="preserve"> is predominantly used in the corpus as a grammaticalised verb, functioning as verbal, subordinator, roughly expressing the meaning of ‘concerning/in relation to’. Note that </w:t>
      </w:r>
      <w:r>
        <w:rPr>
          <w:i/>
        </w:rPr>
        <w:t>Kamus Besar Bahasa Indonesia</w:t>
      </w:r>
      <w:r>
        <w:t xml:space="preserve"> (KBBI) (the Great Dictionary of Indonesian) listed the grammaticalised meaning of </w:t>
      </w:r>
      <w:r>
        <w:rPr>
          <w:i/>
        </w:rPr>
        <w:t>mengenai</w:t>
      </w:r>
      <w:r>
        <w:t xml:space="preserve"> as its third meaning, in addition to its lexical meaning (i.e., ‘to come into contact with X’).</w:t>
      </w:r>
    </w:p>
    <w:p w14:paraId="41F6771C" w14:textId="77777777" w:rsidR="00A012BB" w:rsidRDefault="00B8321E">
      <w:pPr>
        <w:pStyle w:val="Compact"/>
        <w:numPr>
          <w:ilvl w:val="0"/>
          <w:numId w:val="26"/>
        </w:numPr>
      </w:pPr>
      <w:r>
        <w:t>mengenai lexical meaning.</w:t>
      </w:r>
    </w:p>
    <w:p w14:paraId="27444C42" w14:textId="77777777" w:rsidR="00A012BB" w:rsidRDefault="00B8321E">
      <w:pPr>
        <w:pStyle w:val="FirstParagraph"/>
      </w:pPr>
      <w:r>
        <w:t xml:space="preserve">The results in </w:t>
      </w:r>
      <w:hyperlink w:anchor="top-collocates-kenai">
        <w:r>
          <w:rPr>
            <w:rStyle w:val="Hyperlink"/>
          </w:rPr>
          <w:t>Table 3</w:t>
        </w:r>
      </w:hyperlink>
      <w:r>
        <w:t xml:space="preserve"> indicate that the primary meaning of a word in a dictionary may not be the most frequent one in usage, especially in the news corpus used in this study. Now let us turn to </w:t>
      </w:r>
      <w:hyperlink w:anchor="top-collocates-kenakan">
        <w:r>
          <w:rPr>
            <w:rStyle w:val="Hyperlink"/>
          </w:rPr>
          <w:t>Table 4</w:t>
        </w:r>
      </w:hyperlink>
      <w:r>
        <w:t xml:space="preserve"> for the attracted collocates of </w:t>
      </w:r>
      <w:r>
        <w:rPr>
          <w:i/>
        </w:rPr>
        <w:t>mengenakan</w:t>
      </w:r>
      <w:r>
        <w:t>.</w:t>
      </w:r>
    </w:p>
    <w:p w14:paraId="23A217B6" w14:textId="77777777" w:rsidR="00A012BB" w:rsidRDefault="00B8321E">
      <w:pPr>
        <w:pStyle w:val="BodyText"/>
      </w:pPr>
      <w:r>
        <w:t xml:space="preserve">It is clear that </w:t>
      </w:r>
      <w:r>
        <w:rPr>
          <w:i/>
        </w:rPr>
        <w:t>mengenakan</w:t>
      </w:r>
      <w:r>
        <w:t xml:space="preserve"> has substantially different and rather restricted collocational patterns compared to </w:t>
      </w:r>
      <w:r>
        <w:rPr>
          <w:i/>
        </w:rPr>
        <w:t>mengenai</w:t>
      </w:r>
      <w:r>
        <w:t xml:space="preserve">. In this top-20 list, </w:t>
      </w:r>
      <w:r>
        <w:rPr>
          <w:i/>
        </w:rPr>
        <w:t>mengenakan</w:t>
      </w:r>
      <w:r>
        <w:t xml:space="preserve"> is exclusively associated with </w:t>
      </w:r>
      <w:r>
        <w:rPr>
          <w:smallCaps/>
        </w:rPr>
        <w:t>clothing</w:t>
      </w:r>
      <w:r>
        <w:t xml:space="preserve"> nouns and it conveys a lexical meaning of ‘to put on/wear X (usually clothing)’:</w:t>
      </w:r>
    </w:p>
    <w:p w14:paraId="1C74734F" w14:textId="77777777" w:rsidR="00A012BB" w:rsidRDefault="00B8321E">
      <w:pPr>
        <w:pStyle w:val="Compact"/>
        <w:numPr>
          <w:ilvl w:val="0"/>
          <w:numId w:val="27"/>
        </w:numPr>
      </w:pPr>
      <w:r>
        <w:t>722930 Siswi yang masih mengenakan seragam putih abu-abu itu melemparkan senyuman ke arah kendaraan.</w:t>
      </w:r>
    </w:p>
    <w:p w14:paraId="3A784BE5" w14:textId="77777777" w:rsidR="00A012BB" w:rsidRDefault="00B8321E">
      <w:pPr>
        <w:pStyle w:val="FirstParagraph"/>
      </w:pPr>
      <w:r>
        <w:t xml:space="preserve">On top of this collocational difference, </w:t>
      </w:r>
      <w:r>
        <w:rPr>
          <w:i/>
        </w:rPr>
        <w:t>mengenai</w:t>
      </w:r>
      <w:r>
        <w:t xml:space="preserve"> has different morpho-syntactic distribution in its grammaticalised function as adposition; </w:t>
      </w:r>
      <w:r>
        <w:rPr>
          <w:i/>
        </w:rPr>
        <w:t>mengenai</w:t>
      </w:r>
      <w:r>
        <w:t xml:space="preserve"> only occurs in active </w:t>
      </w:r>
      <w:r>
        <w:rPr>
          <w:i/>
        </w:rPr>
        <w:t>meN-</w:t>
      </w:r>
      <w:r>
        <w:t xml:space="preserve"> form and never in passive </w:t>
      </w:r>
      <w:r>
        <w:rPr>
          <w:i/>
        </w:rPr>
        <w:t>di-</w:t>
      </w:r>
      <w:r>
        <w:t xml:space="preserve"> form (i.e., </w:t>
      </w:r>
      <w:r>
        <w:rPr>
          <w:i/>
        </w:rPr>
        <w:t>dikenai</w:t>
      </w:r>
      <w:r>
        <w:t xml:space="preserve">). Intuition suggests that the passive, lexical meaning </w:t>
      </w:r>
      <w:r>
        <w:rPr>
          <w:i/>
        </w:rPr>
        <w:t>dikenai</w:t>
      </w:r>
      <w:r>
        <w:t xml:space="preserve"> conveys different meaning from the active, lexical meaning </w:t>
      </w:r>
      <w:r>
        <w:rPr>
          <w:i/>
        </w:rPr>
        <w:t>mengenai</w:t>
      </w:r>
      <w:r>
        <w:t xml:space="preserve"> (as in (8)). Manual scrutiny of 139 usage sentences for </w:t>
      </w:r>
      <w:r>
        <w:rPr>
          <w:i/>
        </w:rPr>
        <w:t>dikenai</w:t>
      </w:r>
      <w:r>
        <w:t xml:space="preserve"> in the corpus used in this study reveals that 89.21% of the sentences </w:t>
      </w:r>
      <w:r>
        <w:lastRenderedPageBreak/>
        <w:t xml:space="preserve">evoke a conceptual scenario where the syntactic subject is </w:t>
      </w:r>
      <w:r>
        <w:rPr>
          <w:i/>
        </w:rPr>
        <w:t>subjected to</w:t>
      </w:r>
      <w:r>
        <w:t xml:space="preserve"> certain regulations (e.g., sanction, tax, fee, obligation, punishment, retribution, etc.) (see 10):</w:t>
      </w:r>
    </w:p>
    <w:p w14:paraId="34045623" w14:textId="77777777" w:rsidR="00A012BB" w:rsidRDefault="00B8321E">
      <w:pPr>
        <w:pStyle w:val="Compact"/>
        <w:numPr>
          <w:ilvl w:val="0"/>
          <w:numId w:val="28"/>
        </w:numPr>
      </w:pPr>
      <w:r>
        <w:t>dikenai subject to</w:t>
      </w:r>
    </w:p>
    <w:p w14:paraId="256958E1" w14:textId="77777777" w:rsidR="00A012BB" w:rsidRDefault="00B8321E">
      <w:pPr>
        <w:pStyle w:val="FirstParagraph"/>
      </w:pPr>
      <w:r>
        <w:t>A small chunck of the usage sentence (i.e., around 5.04%) still convey the physical touching/contact meaning:</w:t>
      </w:r>
    </w:p>
    <w:p w14:paraId="5583733F" w14:textId="77777777" w:rsidR="00A012BB" w:rsidRDefault="00B8321E">
      <w:pPr>
        <w:numPr>
          <w:ilvl w:val="0"/>
          <w:numId w:val="29"/>
        </w:numPr>
      </w:pPr>
      <w:r>
        <w:t>dikenai touch</w:t>
      </w:r>
    </w:p>
    <w:p w14:paraId="2EE92AFA" w14:textId="77777777" w:rsidR="00A012BB" w:rsidRDefault="00B8321E">
      <w:pPr>
        <w:numPr>
          <w:ilvl w:val="0"/>
          <w:numId w:val="29"/>
        </w:numPr>
      </w:pPr>
      <w:r>
        <w:t>891333 … seolah-oleh pecahan-pecahan kaca cermin dikenai cahayanya demikian rupa sehingga percampuran warnanya menjadi tampak melalui pewarnaan yang pekat-kental."</w:t>
      </w:r>
    </w:p>
    <w:p w14:paraId="02577892" w14:textId="79A7ACDB" w:rsidR="00A012BB" w:rsidRDefault="00B8321E">
      <w:pPr>
        <w:pStyle w:val="FirstParagraph"/>
      </w:pPr>
      <w:r>
        <w:t xml:space="preserve">Brief comparison between the active </w:t>
      </w:r>
      <w:r>
        <w:rPr>
          <w:i/>
        </w:rPr>
        <w:t>mengenai</w:t>
      </w:r>
      <w:r>
        <w:t xml:space="preserve"> and passive </w:t>
      </w:r>
      <w:r>
        <w:rPr>
          <w:i/>
        </w:rPr>
        <w:t>dikenai</w:t>
      </w:r>
      <w:r>
        <w:t xml:space="preserve"> suggests that the passive form may have different, yet common semantic trait compared to its active version, indicating that a given form (e.g., passive) cannot always be regarded as being derived from the other (i.e., the active).</w:t>
      </w:r>
      <w:bookmarkStart w:id="2" w:name="_GoBack"/>
      <w:bookmarkEnd w:id="2"/>
    </w:p>
    <w:p w14:paraId="70B920E6" w14:textId="77777777" w:rsidR="00A012BB" w:rsidRDefault="00B8321E">
      <w:pPr>
        <w:pStyle w:val="Heading1"/>
      </w:pPr>
      <w:bookmarkStart w:id="3" w:name="references"/>
      <w:r>
        <w:t>References</w:t>
      </w:r>
      <w:bookmarkEnd w:id="3"/>
    </w:p>
    <w:p w14:paraId="093009AD" w14:textId="77777777" w:rsidR="00A012BB" w:rsidRDefault="00B8321E">
      <w:pPr>
        <w:pStyle w:val="Bibliography"/>
      </w:pPr>
      <w:bookmarkStart w:id="4" w:name="ref-arka_morpholexical_1993"/>
      <w:bookmarkStart w:id="5" w:name="refs"/>
      <w:r>
        <w:t xml:space="preserve">Arka, I. W. (1993). </w:t>
      </w:r>
      <w:r>
        <w:rPr>
          <w:i/>
        </w:rPr>
        <w:t>Morpholexical aspects of the -kan causative in indonesian</w:t>
      </w:r>
      <w:r>
        <w:t xml:space="preserve"> [Master Thesis]. University of Sydney.</w:t>
      </w:r>
    </w:p>
    <w:bookmarkEnd w:id="4"/>
    <w:bookmarkEnd w:id="5"/>
    <w:p w14:paraId="12EFEE78" w14:textId="77777777" w:rsidR="00A012BB" w:rsidRDefault="00A012BB">
      <w:pPr>
        <w:pStyle w:val="Bibliography"/>
      </w:pPr>
    </w:p>
    <w:sectPr w:rsidR="00A012BB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C3B7D" w14:textId="77777777" w:rsidR="00CF1BB9" w:rsidRDefault="00CF1BB9">
      <w:pPr>
        <w:spacing w:after="0"/>
      </w:pPr>
      <w:r>
        <w:separator/>
      </w:r>
    </w:p>
  </w:endnote>
  <w:endnote w:type="continuationSeparator" w:id="0">
    <w:p w14:paraId="18C9ECA2" w14:textId="77777777" w:rsidR="00CF1BB9" w:rsidRDefault="00CF1B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893780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AF85E1" w14:textId="77777777" w:rsidR="00C80115" w:rsidRDefault="00B8321E" w:rsidP="0029687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AFDEE8" w14:textId="77777777" w:rsidR="00C80115" w:rsidRDefault="00CF1B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786928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267270" w14:textId="77777777" w:rsidR="00C80115" w:rsidRDefault="00B8321E" w:rsidP="0029687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300EE8F" w14:textId="77777777" w:rsidR="00C80115" w:rsidRDefault="00CF1B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95BCF" w14:textId="77777777" w:rsidR="00CF1BB9" w:rsidRDefault="00CF1BB9">
      <w:r>
        <w:separator/>
      </w:r>
    </w:p>
  </w:footnote>
  <w:footnote w:type="continuationSeparator" w:id="0">
    <w:p w14:paraId="32B39588" w14:textId="77777777" w:rsidR="00CF1BB9" w:rsidRDefault="00CF1BB9">
      <w:r>
        <w:continuationSeparator/>
      </w:r>
    </w:p>
  </w:footnote>
  <w:footnote w:id="1">
    <w:p w14:paraId="5703A134" w14:textId="77777777" w:rsidR="00A012BB" w:rsidRDefault="00B8321E">
      <w:pPr>
        <w:pStyle w:val="FootnoteText"/>
      </w:pPr>
      <w:r>
        <w:rPr>
          <w:rStyle w:val="FootnoteReference"/>
        </w:rPr>
        <w:footnoteRef/>
      </w:r>
      <w:r>
        <w:t xml:space="preserve"> In </w:t>
      </w:r>
      <w:proofErr w:type="spellStart"/>
      <w:r>
        <w:t>CollAna</w:t>
      </w:r>
      <w:proofErr w:type="spellEnd"/>
      <w:r>
        <w:t xml:space="preserve">, threshold for significance is set to be </w:t>
      </w:r>
      <w:r>
        <w:rPr>
          <w:i/>
        </w:rPr>
        <w:t>p</w:t>
      </w:r>
      <w:r>
        <w:t xml:space="preserve"> &lt; 0.05.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A27D85"/>
    <w:multiLevelType w:val="multilevel"/>
    <w:tmpl w:val="0AD01C96"/>
    <w:lvl w:ilvl="0">
      <w:start w:val="1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B51A5852"/>
    <w:lvl w:ilvl="0">
      <w:start w:val="9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CF5EDE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FFFFFF7C"/>
    <w:multiLevelType w:val="singleLevel"/>
    <w:tmpl w:val="613CD3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24ECE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CAB2A9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B29483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EAC2DA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1"/>
    <w:multiLevelType w:val="singleLevel"/>
    <w:tmpl w:val="BDBE9D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4C091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011852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B0DEB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013EE9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70CD2DE"/>
    <w:multiLevelType w:val="multilevel"/>
    <w:tmpl w:val="6ABAF7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1AE401"/>
    <w:multiLevelType w:val="multilevel"/>
    <w:tmpl w:val="A6024D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460742C1"/>
    <w:multiLevelType w:val="multilevel"/>
    <w:tmpl w:val="2D3CA094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7261BAD"/>
    <w:multiLevelType w:val="multilevel"/>
    <w:tmpl w:val="4F3AB3A0"/>
    <w:lvl w:ilvl="0">
      <w:start w:val="8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4FBE019A"/>
    <w:multiLevelType w:val="multilevel"/>
    <w:tmpl w:val="B87AAA20"/>
    <w:lvl w:ilvl="0">
      <w:start w:val="10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615F1ED2"/>
    <w:multiLevelType w:val="multilevel"/>
    <w:tmpl w:val="271231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71315DCA"/>
    <w:multiLevelType w:val="multilevel"/>
    <w:tmpl w:val="E5244DBA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num w:numId="1">
    <w:abstractNumId w:val="13"/>
  </w:num>
  <w:num w:numId="2">
    <w:abstractNumId w:val="13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11"/>
  </w:num>
  <w:num w:numId="15">
    <w:abstractNumId w:val="7"/>
  </w:num>
  <w:num w:numId="16">
    <w:abstractNumId w:val="8"/>
  </w:num>
  <w:num w:numId="17">
    <w:abstractNumId w:val="9"/>
  </w:num>
  <w:num w:numId="18">
    <w:abstractNumId w:val="10"/>
  </w:num>
  <w:num w:numId="19">
    <w:abstractNumId w:val="12"/>
  </w:num>
  <w:num w:numId="20">
    <w:abstractNumId w:val="15"/>
  </w:num>
  <w:num w:numId="21">
    <w:abstractNumId w:val="14"/>
  </w:num>
  <w:num w:numId="22">
    <w:abstractNumId w:val="2"/>
  </w:num>
  <w:num w:numId="23">
    <w:abstractNumId w:val="14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6">
    <w:abstractNumId w:val="16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27">
    <w:abstractNumId w:val="1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28">
    <w:abstractNumId w:val="17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29">
    <w:abstractNumId w:val="0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55B"/>
    <w:rsid w:val="00011C8B"/>
    <w:rsid w:val="004E29B3"/>
    <w:rsid w:val="00590D07"/>
    <w:rsid w:val="006C35E3"/>
    <w:rsid w:val="00784D58"/>
    <w:rsid w:val="00830769"/>
    <w:rsid w:val="008A7320"/>
    <w:rsid w:val="008D6863"/>
    <w:rsid w:val="00A012BB"/>
    <w:rsid w:val="00B8321E"/>
    <w:rsid w:val="00B86B75"/>
    <w:rsid w:val="00BC48D5"/>
    <w:rsid w:val="00C36279"/>
    <w:rsid w:val="00CF1BB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43753CD"/>
  <w15:docId w15:val="{252EB40C-6345-2B45-9D1F-5E0ADC09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40958"/>
    <w:pPr>
      <w:keepNext/>
      <w:keepLines/>
      <w:numPr>
        <w:numId w:val="20"/>
      </w:numPr>
      <w:spacing w:before="480" w:after="240"/>
      <w:ind w:left="357" w:hanging="357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26868"/>
    <w:pPr>
      <w:keepNext/>
      <w:keepLines/>
      <w:numPr>
        <w:ilvl w:val="1"/>
        <w:numId w:val="20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i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86EC4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986EC4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97465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97465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397465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97465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986EC4"/>
    <w:pPr>
      <w:spacing w:before="100" w:after="100"/>
      <w:ind w:left="567" w:right="567"/>
    </w:pPr>
    <w:rPr>
      <w:rFonts w:ascii="Tahoma" w:eastAsiaTheme="majorEastAsia" w:hAnsi="Tahom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3E6DBC"/>
    <w:rPr>
      <w:rFonts w:ascii="Times New Roman" w:hAnsi="Times New Roman"/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D6619"/>
    <w:pPr>
      <w:keepNext/>
      <w:spacing w:before="240"/>
    </w:pPr>
    <w:rPr>
      <w:rFonts w:ascii="Times New Roman" w:hAnsi="Times New Roman"/>
      <w:b/>
      <w:i w:val="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CE0C81"/>
    <w:rPr>
      <w:rFonts w:ascii="Times New Roman" w:hAnsi="Times New Roman"/>
      <w:sz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FB00ED"/>
    <w:rPr>
      <w:color w:val="0F243E" w:themeColor="text2" w:themeShade="8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CE0C81"/>
    <w:pPr>
      <w:shd w:val="clear" w:color="auto" w:fill="F8F8F8"/>
      <w:wordWrap w:val="0"/>
    </w:pPr>
    <w:rPr>
      <w:rFonts w:ascii="Times New Roman" w:hAnsi="Times New Roman"/>
      <w:sz w:val="20"/>
    </w:rPr>
  </w:style>
  <w:style w:type="character" w:customStyle="1" w:styleId="KeywordTok">
    <w:name w:val="KeywordTok"/>
    <w:basedOn w:val="VerbatimChar"/>
    <w:rsid w:val="00CE0C81"/>
    <w:rPr>
      <w:rFonts w:ascii="Times New Roman" w:hAnsi="Times New Roman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sid w:val="00CE0C81"/>
    <w:rPr>
      <w:rFonts w:ascii="Times New Roman" w:hAnsi="Times New Roman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sid w:val="00CE0C81"/>
    <w:rPr>
      <w:rFonts w:ascii="Times New Roman" w:hAnsi="Times New Roman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Pr>
      <w:rFonts w:ascii="Times New Roman" w:hAnsi="Times New Roman"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Pr>
      <w:rFonts w:ascii="Times New Roman" w:hAnsi="Times New Roman"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Times New Roman" w:hAnsi="Times New Roman"/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Pr>
      <w:rFonts w:ascii="Times New Roman" w:hAnsi="Times New Roman"/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Pr>
      <w:rFonts w:ascii="Times New Roman" w:hAnsi="Times New Roman"/>
      <w:color w:val="000000"/>
      <w:sz w:val="20"/>
      <w:shd w:val="clear" w:color="auto" w:fill="F8F8F8"/>
    </w:rPr>
  </w:style>
  <w:style w:type="character" w:customStyle="1" w:styleId="StringTok">
    <w:name w:val="StringTok"/>
    <w:basedOn w:val="VerbatimChar"/>
    <w:rsid w:val="00CE0C81"/>
    <w:rPr>
      <w:rFonts w:ascii="Times New Roman" w:hAnsi="Times New Roman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Times New Roman" w:hAnsi="Times New Roman"/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Times New Roman" w:hAnsi="Times New Roman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Pr>
      <w:rFonts w:ascii="Times New Roman" w:hAnsi="Times New Roman"/>
      <w:sz w:val="20"/>
      <w:shd w:val="clear" w:color="auto" w:fill="F8F8F8"/>
    </w:rPr>
  </w:style>
  <w:style w:type="character" w:customStyle="1" w:styleId="CommentTok">
    <w:name w:val="CommentTok"/>
    <w:basedOn w:val="VerbatimChar"/>
    <w:rsid w:val="00CE0C81"/>
    <w:rPr>
      <w:rFonts w:ascii="Times New Roman" w:hAnsi="Times New Roman"/>
      <w:i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Times New Roman" w:hAnsi="Times New Roman"/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Times New Roman" w:hAnsi="Times New Roman"/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Times New Roman" w:hAnsi="Times New Roman"/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Pr>
      <w:rFonts w:ascii="Times New Roman" w:hAnsi="Times New Roman"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Pr>
      <w:rFonts w:ascii="Times New Roman" w:hAnsi="Times New Roman"/>
      <w:color w:val="000000"/>
      <w:sz w:val="20"/>
      <w:shd w:val="clear" w:color="auto" w:fill="F8F8F8"/>
    </w:rPr>
  </w:style>
  <w:style w:type="character" w:customStyle="1" w:styleId="VariableTok">
    <w:name w:val="VariableTok"/>
    <w:basedOn w:val="VerbatimChar"/>
    <w:rPr>
      <w:rFonts w:ascii="Times New Roman" w:hAnsi="Times New Roman"/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Times New Roman" w:hAnsi="Times New Roman"/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Pr>
      <w:rFonts w:ascii="Times New Roman" w:hAnsi="Times New Roman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Times New Roman" w:hAnsi="Times New Roman"/>
      <w:sz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Times New Roman" w:hAnsi="Times New Roman"/>
      <w:sz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Times New Roman" w:hAnsi="Times New Roman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Times New Roman" w:hAnsi="Times New Roman"/>
      <w:color w:val="C4A000"/>
      <w:sz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Times New Roman" w:hAnsi="Times New Roman"/>
      <w:sz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Times New Roman" w:hAnsi="Times New Roman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Times New Roman" w:hAnsi="Times New Roman"/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Pr>
      <w:rFonts w:ascii="Times New Roman" w:hAnsi="Times New Roman"/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Pr>
      <w:rFonts w:ascii="Times New Roman" w:hAnsi="Times New Roman"/>
      <w:b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sid w:val="00CE0C81"/>
    <w:rPr>
      <w:rFonts w:ascii="Times New Roman" w:hAnsi="Times New Roman"/>
      <w:sz w:val="20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86EC4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C8011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80115"/>
  </w:style>
  <w:style w:type="paragraph" w:styleId="Footer">
    <w:name w:val="footer"/>
    <w:basedOn w:val="Normal"/>
    <w:link w:val="FooterChar"/>
    <w:unhideWhenUsed/>
    <w:rsid w:val="00C80115"/>
    <w:pPr>
      <w:tabs>
        <w:tab w:val="center" w:pos="4680"/>
        <w:tab w:val="right" w:pos="9360"/>
      </w:tabs>
      <w:spacing w:after="0"/>
    </w:pPr>
    <w:rPr>
      <w:rFonts w:ascii="Times New Roman" w:hAnsi="Times New Roman"/>
      <w:sz w:val="22"/>
    </w:rPr>
  </w:style>
  <w:style w:type="character" w:customStyle="1" w:styleId="FooterChar">
    <w:name w:val="Footer Char"/>
    <w:basedOn w:val="DefaultParagraphFont"/>
    <w:link w:val="Footer"/>
    <w:rsid w:val="00C80115"/>
    <w:rPr>
      <w:rFonts w:ascii="Times New Roman" w:hAnsi="Times New Roman"/>
      <w:sz w:val="22"/>
    </w:rPr>
  </w:style>
  <w:style w:type="character" w:styleId="PageNumber">
    <w:name w:val="page number"/>
    <w:basedOn w:val="DefaultParagraphFont"/>
    <w:semiHidden/>
    <w:unhideWhenUsed/>
    <w:rsid w:val="00C80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837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Contrasting the semantics of Indonesian -kan &amp; -i verb pairs: A usage-based, constructional approach</dc:title>
  <dc:creator>Gede Primahadi Wijaya Rajeg dan I Made Rajeg</dc:creator>
  <cp:keywords/>
  <cp:lastModifiedBy>Gede Primahadi Wijaya RAJEG</cp:lastModifiedBy>
  <cp:revision>4</cp:revision>
  <dcterms:created xsi:type="dcterms:W3CDTF">2020-01-29T16:42:00Z</dcterms:created>
  <dcterms:modified xsi:type="dcterms:W3CDTF">2020-02-01T23:15:00Z</dcterms:modified>
</cp:coreProperties>
</file>