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1DFA" w14:textId="77777777" w:rsidR="007200F4" w:rsidRDefault="00000000">
      <w:pPr>
        <w:pStyle w:val="Title"/>
      </w:pPr>
      <w:r>
        <w:t>Diatesis dalam bahasa Indonesia</w:t>
      </w:r>
    </w:p>
    <w:p w14:paraId="6FD8C4FA" w14:textId="77777777" w:rsidR="007200F4" w:rsidRDefault="00000000">
      <w:pPr>
        <w:pStyle w:val="Abstract"/>
      </w:pPr>
      <w:r>
        <w:t>Ini adalah abstrak</w:t>
      </w:r>
    </w:p>
    <w:p w14:paraId="6A099DC2" w14:textId="7D5EDD1A" w:rsidR="007200F4" w:rsidRDefault="00000000">
      <w:pPr>
        <w:pStyle w:val="Heading1"/>
      </w:pPr>
      <w:bookmarkStart w:id="0" w:name="pendahuluan"/>
      <w:r>
        <w:t>1. Pendahuluan</w:t>
      </w:r>
      <w:r w:rsidR="009504AA">
        <w:rPr>
          <w:rStyle w:val="FootnoteReference"/>
        </w:rPr>
        <w:footnoteReference w:id="1"/>
      </w:r>
    </w:p>
    <w:p w14:paraId="0DF60DBF" w14:textId="77777777" w:rsidR="007200F4" w:rsidRDefault="00000000">
      <w:pPr>
        <w:pStyle w:val="Heading1"/>
      </w:pPr>
      <w:bookmarkStart w:id="1" w:name="kajian-pustaka"/>
      <w:bookmarkEnd w:id="0"/>
      <w:r>
        <w:t>2. Kajian pustaka</w:t>
      </w:r>
    </w:p>
    <w:p w14:paraId="337A0BF0" w14:textId="77777777" w:rsidR="007200F4" w:rsidRDefault="00000000">
      <w:pPr>
        <w:pStyle w:val="FirstParagraph"/>
      </w:pPr>
      <w:r>
        <w:t xml:space="preserve">Buku tata bahasa baku BI </w:t>
      </w:r>
      <w:hyperlink w:anchor="ref-alwi2000">
        <w:r>
          <w:rPr>
            <w:rStyle w:val="Hyperlink"/>
          </w:rPr>
          <w:t>[1]</w:t>
        </w:r>
      </w:hyperlink>
      <w:r>
        <w:t xml:space="preserve">, </w:t>
      </w:r>
      <w:hyperlink w:anchor="ref-sneddon2010">
        <w:r>
          <w:rPr>
            <w:rStyle w:val="Hyperlink"/>
          </w:rPr>
          <w:t>[2]</w:t>
        </w:r>
      </w:hyperlink>
      <w:r>
        <w:t xml:space="preserve"> telah mengulas bentuk kata kerja penanda kalimat aktif dan “kaidah umum untuk pembentukan kalimat pasif dari kalimat aktif” </w:t>
      </w:r>
      <w:hyperlink w:anchor="ref-alwi2000">
        <w:r>
          <w:rPr>
            <w:rStyle w:val="Hyperlink"/>
          </w:rPr>
          <w:t>[1, p. 345]</w:t>
        </w:r>
      </w:hyperlink>
      <w:r>
        <w:t xml:space="preserve">. Pernyataan sebelumnya bahwa kalimat pasif dibentuk dari kalimat aktif mengindikasikan bahwa kalimat aktif mendahului (atau menjadi sumber dari) kalimat pasif. Arah perubahan tunggal dari aktif ke pasif tersebut juga dinyatakan secara eksplisit: “Gantilah prefiks </w:t>
      </w:r>
      <w:r>
        <w:rPr>
          <w:i/>
          <w:iCs/>
        </w:rPr>
        <w:t>meng</w:t>
      </w:r>
      <w:r>
        <w:t xml:space="preserve">- dengan </w:t>
      </w:r>
      <w:r>
        <w:rPr>
          <w:i/>
          <w:iCs/>
        </w:rPr>
        <w:t>di</w:t>
      </w:r>
      <w:r>
        <w:t xml:space="preserve">- pada P” </w:t>
      </w:r>
      <w:hyperlink w:anchor="ref-alwi2000">
        <w:r>
          <w:rPr>
            <w:rStyle w:val="Hyperlink"/>
          </w:rPr>
          <w:t>[1, p. 345]</w:t>
        </w:r>
      </w:hyperlink>
      <w:r>
        <w:t>, di mana P adalah unit predikat/kata kerja pada kalimat. Kajian kuantitatif terhadap data korpus dalam makalah ini (</w:t>
      </w:r>
      <w:hyperlink w:anchor="sec-dca">
        <w:r>
          <w:rPr>
            <w:rStyle w:val="Hyperlink"/>
          </w:rPr>
          <w:t>§ 4.2</w:t>
        </w:r>
      </w:hyperlink>
      <w:r>
        <w:t>) akan menunjukkan bahwa bentuk pasif tidak harus memiliki bentuk aktif, dan oleh karena itu, bentuk pasif mesti dipandang sebagai suatu unit konstruksi tersendiri yang bukan dan tidak selalu merupakan transformasi dari bentuk aktif.</w:t>
      </w:r>
    </w:p>
    <w:p w14:paraId="6C28CED3" w14:textId="77777777" w:rsidR="007200F4" w:rsidRDefault="00000000">
      <w:pPr>
        <w:pStyle w:val="BodyText"/>
      </w:pPr>
      <w:r>
        <w:t xml:space="preserve">Sebelum penulisan makalah ini, kajian korpus kuantitatif dan eksperimental termutakhir atas diatesis BI </w:t>
      </w:r>
      <w:hyperlink w:anchor="ref-rra:2020">
        <w:r>
          <w:rPr>
            <w:rStyle w:val="Hyperlink"/>
          </w:rPr>
          <w:t>[3]</w:t>
        </w:r>
      </w:hyperlink>
      <w:r>
        <w:t xml:space="preserve">, </w:t>
      </w:r>
      <w:hyperlink w:anchor="ref-rajeg2022">
        <w:r>
          <w:rPr>
            <w:rStyle w:val="Hyperlink"/>
          </w:rPr>
          <w:t>[4]</w:t>
        </w:r>
      </w:hyperlink>
      <w:r>
        <w:t xml:space="preserve"> juga telah menunjukkan bahwa bentuk pasif berbeda dengan bentuk aktif dari segi preferensi semantisnya (yaitu kecenderungan mengungkapkan makna tertentu dalam bentuk tertentu) dan mesti dipandang sebagai unit konstruksi mandiri. Misalnya, makna ‘mewajibkan’ dari verba </w:t>
      </w:r>
      <w:r>
        <w:rPr>
          <w:i/>
          <w:iCs/>
        </w:rPr>
        <w:t>kenai</w:t>
      </w:r>
      <w:r>
        <w:t xml:space="preserve"> lebih signifikan diasosiasikan </w:t>
      </w:r>
      <w:r w:rsidRPr="0026103E">
        <w:rPr>
          <w:lang w:val="id-ID"/>
        </w:rPr>
        <w:t>dengan</w:t>
      </w:r>
      <w:r>
        <w:t xml:space="preserve"> bentuk pasif </w:t>
      </w:r>
      <w:r>
        <w:rPr>
          <w:i/>
          <w:iCs/>
        </w:rPr>
        <w:t>dikenai</w:t>
      </w:r>
      <w:r>
        <w:t xml:space="preserve"> dan tidak pernah diungkapkan dalam bentuk aktif </w:t>
      </w:r>
      <w:r>
        <w:rPr>
          <w:i/>
          <w:iCs/>
        </w:rPr>
        <w:t>mengenai</w:t>
      </w:r>
      <w:r>
        <w:t xml:space="preserve">, yang mengungkapkan arti fisik </w:t>
      </w:r>
      <w:hyperlink w:anchor="ref-rra:2020">
        <w:r>
          <w:rPr>
            <w:rStyle w:val="Hyperlink"/>
          </w:rPr>
          <w:t>[3]</w:t>
        </w:r>
      </w:hyperlink>
      <w:r>
        <w:t xml:space="preserve">. Perbedaan makna ini juga menunjukkan bahwa makna tertentu dapat langsung diungkapkan dalam bentuk pasif tanpa perlu memiliki bentuk aktifnya. Kajian eksperimental </w:t>
      </w:r>
      <w:hyperlink w:anchor="ref-rajeg2022">
        <w:r>
          <w:rPr>
            <w:rStyle w:val="Hyperlink"/>
          </w:rPr>
          <w:t>[4]</w:t>
        </w:r>
      </w:hyperlink>
      <w:r>
        <w:t xml:space="preserve"> juga menunjukkan bahwa penutur merekam, dalam khasanah kebahasaan mereka, bentuk diatesis yang dominan digunakan untuk mengungkapkan makna tertentu dari suatu verba. Preferensi semantis ini juga mengindikasikan bahwa komponen yang dipandang secara tradisional sebagai suatu kaidah tata bahasa (misalnya alternasi aktif-pasif) memiliki kekhasan leksikal (yang akan juga ditunjukkan pada </w:t>
      </w:r>
      <w:hyperlink w:anchor="sec-dca">
        <w:r>
          <w:rPr>
            <w:rStyle w:val="Hyperlink"/>
          </w:rPr>
          <w:t>§ 4.2</w:t>
        </w:r>
      </w:hyperlink>
      <w:r>
        <w:t>).</w:t>
      </w:r>
    </w:p>
    <w:p w14:paraId="74937048" w14:textId="77777777" w:rsidR="007200F4" w:rsidRDefault="00000000">
      <w:pPr>
        <w:pStyle w:val="BodyText"/>
      </w:pPr>
      <w:r>
        <w:t xml:space="preserve">Buku tata bahasa BI terdahulu </w:t>
      </w:r>
      <w:hyperlink w:anchor="ref-alwi2000">
        <w:r>
          <w:rPr>
            <w:rStyle w:val="Hyperlink"/>
          </w:rPr>
          <w:t>[1]</w:t>
        </w:r>
      </w:hyperlink>
      <w:r>
        <w:t xml:space="preserve">, </w:t>
      </w:r>
      <w:hyperlink w:anchor="ref-sneddon2010">
        <w:r>
          <w:rPr>
            <w:rStyle w:val="Hyperlink"/>
          </w:rPr>
          <w:t>[2]</w:t>
        </w:r>
      </w:hyperlink>
      <w:r>
        <w:t xml:space="preserve"> juga mengajukan dua bentuk pasif BI. Kedua bentuk ini berbeda dari segi pemarkahan terhadap verbanya. Salah satu bentuk pasif tersebut memarkahi verbanya dengan awalan </w:t>
      </w:r>
      <w:r>
        <w:rPr>
          <w:i/>
          <w:iCs/>
        </w:rPr>
        <w:t>di-</w:t>
      </w:r>
      <w:r>
        <w:t xml:space="preserve"> sedangkan verba pada bentuk pasif yang lain tidak dimarkahi.</w:t>
      </w:r>
    </w:p>
    <w:p w14:paraId="57476F1E" w14:textId="77777777" w:rsidR="007200F4" w:rsidRDefault="00000000">
      <w:pPr>
        <w:numPr>
          <w:ilvl w:val="0"/>
          <w:numId w:val="141"/>
        </w:numPr>
      </w:pPr>
      <w:r>
        <w:t>pasif di-</w:t>
      </w:r>
    </w:p>
    <w:p w14:paraId="6A7EC091" w14:textId="77777777" w:rsidR="007200F4" w:rsidRDefault="00000000">
      <w:pPr>
        <w:numPr>
          <w:ilvl w:val="0"/>
          <w:numId w:val="141"/>
        </w:numPr>
      </w:pPr>
      <w:r>
        <w:t>pasif pronomina</w:t>
      </w:r>
    </w:p>
    <w:p w14:paraId="1BAE5F62" w14:textId="77777777" w:rsidR="007200F4" w:rsidRDefault="00000000">
      <w:pPr>
        <w:pStyle w:val="FirstParagraph"/>
      </w:pPr>
      <w:r>
        <w:t>Kajian tipologi terhadap diatesis BI berpandangan bahwa bentuk pasif</w:t>
      </w:r>
    </w:p>
    <w:p w14:paraId="0B8DEAE0" w14:textId="77777777" w:rsidR="007200F4" w:rsidRDefault="00000000">
      <w:pPr>
        <w:pStyle w:val="Heading1"/>
      </w:pPr>
      <w:bookmarkStart w:id="2" w:name="metodologi"/>
      <w:bookmarkEnd w:id="1"/>
      <w:r>
        <w:t>3. Metodologi</w:t>
      </w:r>
    </w:p>
    <w:p w14:paraId="5E7856A9" w14:textId="77777777" w:rsidR="007200F4" w:rsidRDefault="00000000">
      <w:pPr>
        <w:pStyle w:val="Heading1"/>
      </w:pPr>
      <w:bookmarkStart w:id="3" w:name="hasil-dan-pembahasan"/>
      <w:bookmarkEnd w:id="2"/>
      <w:r>
        <w:t>4. Hasil dan pembahasan</w:t>
      </w:r>
    </w:p>
    <w:p w14:paraId="49A16F94" w14:textId="77777777" w:rsidR="007200F4" w:rsidRDefault="00000000">
      <w:pPr>
        <w:pStyle w:val="Heading2"/>
      </w:pPr>
      <w:bookmarkStart w:id="4" w:name="X89ddfbfe90f21328b072af0c96405465d003f12"/>
      <w:r>
        <w:t>4.1 Kajian korpus atas sejumlah fitur kunci tipe diatesis</w:t>
      </w:r>
    </w:p>
    <w:p w14:paraId="514266F8" w14:textId="77777777" w:rsidR="007200F4" w:rsidRDefault="00000000">
      <w:pPr>
        <w:pStyle w:val="FirstParagraph"/>
      </w:pPr>
      <w:r>
        <w:t>Kajian korpus terhadap beberapa fitur kunci masing-masing diatesis.</w:t>
      </w:r>
    </w:p>
    <w:p w14:paraId="7B7508A3" w14:textId="77777777" w:rsidR="007200F4" w:rsidRDefault="00000000">
      <w:pPr>
        <w:pStyle w:val="Compact"/>
        <w:numPr>
          <w:ilvl w:val="0"/>
          <w:numId w:val="142"/>
        </w:numPr>
      </w:pPr>
      <w:r>
        <w:t xml:space="preserve">sisipan di antara verba dan </w:t>
      </w:r>
      <w:r>
        <w:rPr>
          <w:i/>
          <w:iCs/>
        </w:rPr>
        <w:t>oleh</w:t>
      </w:r>
    </w:p>
    <w:p w14:paraId="53D95F88" w14:textId="77777777" w:rsidR="007200F4" w:rsidRDefault="00000000">
      <w:pPr>
        <w:pStyle w:val="Heading3"/>
      </w:pPr>
      <w:bookmarkStart w:id="5" w:name="X1937abcefc06d389aeab871cc94ce848412af62"/>
      <w:r>
        <w:lastRenderedPageBreak/>
        <w:t>4.1.1 Tipe Agen/Pelaku pada diatesis objek (pasif pronomina)</w:t>
      </w:r>
    </w:p>
    <w:p w14:paraId="5532CA15" w14:textId="77777777" w:rsidR="007200F4" w:rsidRDefault="00000000">
      <w:pPr>
        <w:pStyle w:val="FirstParagraph"/>
      </w:pPr>
      <w:r>
        <w:t xml:space="preserve">Selain pasif </w:t>
      </w:r>
      <w:r>
        <w:rPr>
          <w:i/>
          <w:iCs/>
        </w:rPr>
        <w:t>di</w:t>
      </w:r>
      <w:r>
        <w:t>-, buku TBBI menjelaskan tipe pasif kedua</w:t>
      </w:r>
    </w:p>
    <w:p w14:paraId="187F7421" w14:textId="77777777" w:rsidR="007200F4" w:rsidRDefault="00000000">
      <w:pPr>
        <w:pStyle w:val="Compact"/>
        <w:numPr>
          <w:ilvl w:val="0"/>
          <w:numId w:val="144"/>
        </w:numPr>
      </w:pPr>
      <w:r>
        <w:t xml:space="preserve">Kajian korpus terhadap klaim teoretis diatesis pasif pronomina (Apakah pasif pronomina juga bisa ditemukan dengan agen non pronomina?) Lihat </w:t>
      </w:r>
      <w:hyperlink w:anchor="fig-OV-agent-berikan">
        <w:r>
          <w:rPr>
            <w:rStyle w:val="Hyperlink"/>
          </w:rPr>
          <w:t>Gambar 1</w:t>
        </w:r>
      </w:hyperlink>
    </w:p>
    <w:tbl>
      <w:tblPr>
        <w:tblStyle w:val="Table"/>
        <w:tblW w:w="5000" w:type="pct"/>
        <w:tblLook w:val="0000" w:firstRow="0" w:lastRow="0" w:firstColumn="0" w:lastColumn="0" w:noHBand="0" w:noVBand="0"/>
      </w:tblPr>
      <w:tblGrid>
        <w:gridCol w:w="9576"/>
      </w:tblGrid>
      <w:tr w:rsidR="007200F4" w14:paraId="39D113D6" w14:textId="77777777">
        <w:tc>
          <w:tcPr>
            <w:tcW w:w="0" w:type="auto"/>
          </w:tcPr>
          <w:tbl>
            <w:tblPr>
              <w:tblStyle w:val="Table"/>
              <w:tblW w:w="5005" w:type="pct"/>
              <w:tblLook w:val="0000" w:firstRow="0" w:lastRow="0" w:firstColumn="0" w:lastColumn="0" w:noHBand="0" w:noVBand="0"/>
            </w:tblPr>
            <w:tblGrid>
              <w:gridCol w:w="4546"/>
              <w:gridCol w:w="277"/>
              <w:gridCol w:w="4546"/>
            </w:tblGrid>
            <w:tr w:rsidR="007200F4" w14:paraId="64B49A03" w14:textId="77777777">
              <w:tc>
                <w:tcPr>
                  <w:tcW w:w="0" w:type="auto"/>
                </w:tcPr>
                <w:tbl>
                  <w:tblPr>
                    <w:tblStyle w:val="Table"/>
                    <w:tblW w:w="5000" w:type="pct"/>
                    <w:tblLook w:val="0000" w:firstRow="0" w:lastRow="0" w:firstColumn="0" w:lastColumn="0" w:noHBand="0" w:noVBand="0"/>
                  </w:tblPr>
                  <w:tblGrid>
                    <w:gridCol w:w="4330"/>
                  </w:tblGrid>
                  <w:tr w:rsidR="007200F4" w14:paraId="7FF1E56E" w14:textId="77777777">
                    <w:tc>
                      <w:tcPr>
                        <w:tcW w:w="0" w:type="auto"/>
                      </w:tcPr>
                      <w:p w14:paraId="6C96CA10" w14:textId="77777777" w:rsidR="007200F4" w:rsidRDefault="00000000">
                        <w:pPr>
                          <w:jc w:val="center"/>
                        </w:pPr>
                        <w:bookmarkStart w:id="6" w:name="fig-OV-agent-berikan-1"/>
                        <w:bookmarkStart w:id="7" w:name="fig-OV-agent-berikan"/>
                        <w:r>
                          <w:rPr>
                            <w:noProof/>
                          </w:rPr>
                          <w:drawing>
                            <wp:inline distT="0" distB="0" distL="0" distR="0" wp14:anchorId="73D1CF20" wp14:editId="5303ED4B">
                              <wp:extent cx="2551176" cy="170078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ajeg_artawa_2023-02-06-voice-cxn-for-tbik_files/figure-docx/fig-OV-agent-berikan-1.png"/>
                                      <pic:cNvPicPr>
                                        <a:picLocks noChangeAspect="1" noChangeArrowheads="1"/>
                                      </pic:cNvPicPr>
                                    </pic:nvPicPr>
                                    <pic:blipFill>
                                      <a:blip r:embed="rId7"/>
                                      <a:stretch>
                                        <a:fillRect/>
                                      </a:stretch>
                                    </pic:blipFill>
                                    <pic:spPr bwMode="auto">
                                      <a:xfrm>
                                        <a:off x="0" y="0"/>
                                        <a:ext cx="2551176" cy="1700783"/>
                                      </a:xfrm>
                                      <a:prstGeom prst="rect">
                                        <a:avLst/>
                                      </a:prstGeom>
                                      <a:noFill/>
                                      <a:ln w="9525">
                                        <a:noFill/>
                                        <a:headEnd/>
                                        <a:tailEnd/>
                                      </a:ln>
                                    </pic:spPr>
                                  </pic:pic>
                                </a:graphicData>
                              </a:graphic>
                            </wp:inline>
                          </w:drawing>
                        </w:r>
                      </w:p>
                      <w:p w14:paraId="6FD2AADD" w14:textId="77777777" w:rsidR="007200F4" w:rsidRDefault="00000000">
                        <w:pPr>
                          <w:pStyle w:val="ImageCaption"/>
                        </w:pPr>
                        <w:r>
                          <w:t>(a) Tipe AGEN</w:t>
                        </w:r>
                      </w:p>
                    </w:tc>
                    <w:bookmarkEnd w:id="6"/>
                  </w:tr>
                </w:tbl>
                <w:p w14:paraId="7DFBA49E" w14:textId="77777777" w:rsidR="007200F4" w:rsidRDefault="007200F4"/>
              </w:tc>
              <w:tc>
                <w:tcPr>
                  <w:tcW w:w="0" w:type="auto"/>
                </w:tcPr>
                <w:p w14:paraId="39E744C0" w14:textId="77777777" w:rsidR="007200F4" w:rsidRDefault="00000000">
                  <w:pPr>
                    <w:jc w:val="center"/>
                  </w:pPr>
                  <w:r>
                    <w:t> </w:t>
                  </w:r>
                </w:p>
              </w:tc>
              <w:tc>
                <w:tcPr>
                  <w:tcW w:w="0" w:type="auto"/>
                </w:tcPr>
                <w:tbl>
                  <w:tblPr>
                    <w:tblStyle w:val="Table"/>
                    <w:tblW w:w="5000" w:type="pct"/>
                    <w:tblLook w:val="0000" w:firstRow="0" w:lastRow="0" w:firstColumn="0" w:lastColumn="0" w:noHBand="0" w:noVBand="0"/>
                  </w:tblPr>
                  <w:tblGrid>
                    <w:gridCol w:w="4330"/>
                  </w:tblGrid>
                  <w:tr w:rsidR="007200F4" w14:paraId="65AB6603" w14:textId="77777777">
                    <w:tc>
                      <w:tcPr>
                        <w:tcW w:w="0" w:type="auto"/>
                      </w:tcPr>
                      <w:p w14:paraId="78453D42" w14:textId="77777777" w:rsidR="007200F4" w:rsidRDefault="00000000">
                        <w:pPr>
                          <w:jc w:val="center"/>
                        </w:pPr>
                        <w:bookmarkStart w:id="8" w:name="fig-OV-agent-berikan-2"/>
                        <w:r>
                          <w:rPr>
                            <w:noProof/>
                          </w:rPr>
                          <w:drawing>
                            <wp:inline distT="0" distB="0" distL="0" distR="0" wp14:anchorId="58B33B06" wp14:editId="6EEC3AC8">
                              <wp:extent cx="2551176" cy="1700783"/>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rajeg_artawa_2023-02-06-voice-cxn-for-tbik_files/figure-docx/fig-OV-agent-berikan-2.png"/>
                                      <pic:cNvPicPr>
                                        <a:picLocks noChangeAspect="1" noChangeArrowheads="1"/>
                                      </pic:cNvPicPr>
                                    </pic:nvPicPr>
                                    <pic:blipFill>
                                      <a:blip r:embed="rId8"/>
                                      <a:stretch>
                                        <a:fillRect/>
                                      </a:stretch>
                                    </pic:blipFill>
                                    <pic:spPr bwMode="auto">
                                      <a:xfrm>
                                        <a:off x="0" y="0"/>
                                        <a:ext cx="2551176" cy="1700783"/>
                                      </a:xfrm>
                                      <a:prstGeom prst="rect">
                                        <a:avLst/>
                                      </a:prstGeom>
                                      <a:noFill/>
                                      <a:ln w="9525">
                                        <a:noFill/>
                                        <a:headEnd/>
                                        <a:tailEnd/>
                                      </a:ln>
                                    </pic:spPr>
                                  </pic:pic>
                                </a:graphicData>
                              </a:graphic>
                            </wp:inline>
                          </w:drawing>
                        </w:r>
                      </w:p>
                      <w:p w14:paraId="134C0012" w14:textId="77777777" w:rsidR="007200F4" w:rsidRDefault="00000000">
                        <w:pPr>
                          <w:pStyle w:val="ImageCaption"/>
                        </w:pPr>
                        <w:r>
                          <w:t>(b) Tipe AGEN Pronomina</w:t>
                        </w:r>
                      </w:p>
                    </w:tc>
                    <w:bookmarkEnd w:id="8"/>
                  </w:tr>
                </w:tbl>
                <w:p w14:paraId="7B75791F" w14:textId="77777777" w:rsidR="007200F4" w:rsidRDefault="007200F4"/>
              </w:tc>
            </w:tr>
          </w:tbl>
          <w:p w14:paraId="7F8559C0" w14:textId="77777777" w:rsidR="007200F4" w:rsidRDefault="00000000">
            <w:pPr>
              <w:pStyle w:val="ImageCaption"/>
            </w:pPr>
            <w:r>
              <w:t xml:space="preserve">Gambar 1: Frekuensi tipe AGEN dalam diatesis objek fokus dengan verba </w:t>
            </w:r>
            <w:r>
              <w:rPr>
                <w:iCs/>
              </w:rPr>
              <w:t>berikan</w:t>
            </w:r>
          </w:p>
        </w:tc>
        <w:bookmarkEnd w:id="7"/>
      </w:tr>
    </w:tbl>
    <w:p w14:paraId="24F2C09A" w14:textId="77777777" w:rsidR="007200F4" w:rsidRDefault="00000000">
      <w:pPr>
        <w:pStyle w:val="BodyText"/>
      </w:pPr>
      <w:r>
        <w:t xml:space="preserve">proper name used in passive type two in Sneddon et al (2010) does not have to refer to the speaker (or I), but can really refer to third person, such as </w:t>
      </w:r>
      <w:r>
        <w:rPr>
          <w:i/>
          <w:iCs/>
        </w:rPr>
        <w:t>Tuhan</w:t>
      </w:r>
      <w:r>
        <w:t xml:space="preserve"> or </w:t>
      </w:r>
      <w:r>
        <w:rPr>
          <w:i/>
          <w:iCs/>
        </w:rPr>
        <w:t>Allah</w:t>
      </w:r>
      <w:r>
        <w:t>.</w:t>
      </w:r>
    </w:p>
    <w:p w14:paraId="0FD38ED8" w14:textId="77777777" w:rsidR="007200F4" w:rsidRDefault="00000000">
      <w:pPr>
        <w:pStyle w:val="BodyText"/>
      </w:pPr>
      <w:r>
        <w:t xml:space="preserve">Data korpus menunjukkan bahwa pronomina adalah tipe Agen/Pelaku dominan dalam konstruksi diatesis objek (atau pasif pronomina menurut XXX) untuk </w:t>
      </w:r>
      <w:r>
        <w:rPr>
          <w:i/>
          <w:iCs/>
        </w:rPr>
        <w:t>berikan</w:t>
      </w:r>
      <w:r>
        <w:t xml:space="preserve"> </w:t>
      </w:r>
      <w:hyperlink w:anchor="fig-OV-agent-berikan-1">
        <w:r>
          <w:rPr>
            <w:rStyle w:val="Hyperlink"/>
          </w:rPr>
          <w:t>Gambar 1 (a)</w:t>
        </w:r>
      </w:hyperlink>
      <w:r>
        <w:t xml:space="preserve">. Namun, dominasi tersebut tidak bersifat absolut, karena tipe Agen lain terbukti muncul digunakan meskipun proporsinya minor. Tipe Agen lain tersebut ialah nomina (mis. ), nomina diri (mis. ), dan nomina kekerabatan (mis. ). Kemudian, </w:t>
      </w:r>
      <w:hyperlink w:anchor="fig-OV-agent-berikan-2">
        <w:r>
          <w:rPr>
            <w:rStyle w:val="Hyperlink"/>
          </w:rPr>
          <w:t>Gambar 1 (b)</w:t>
        </w:r>
      </w:hyperlink>
      <w:r>
        <w:t xml:space="preserve"> juga menunjukkan bahwa untuk </w:t>
      </w:r>
      <w:r>
        <w:rPr>
          <w:i/>
          <w:iCs/>
        </w:rPr>
        <w:t>berikan</w:t>
      </w:r>
      <w:r>
        <w:t>, tidak semua bentuk pronomina memiliki distribusi seimbang sebagai Agen.</w:t>
      </w:r>
    </w:p>
    <w:p w14:paraId="421B9F1A" w14:textId="77777777" w:rsidR="007200F4" w:rsidRDefault="00000000">
      <w:pPr>
        <w:pStyle w:val="BodyText"/>
      </w:pPr>
      <w:r>
        <w:t xml:space="preserve">Terdapat juga kemungkinan bahwa tipe Agen ditentukan oleh kespesifikan verbanya. Sebagai contoh, dari total 5 kemunculan </w:t>
      </w:r>
      <w:r>
        <w:rPr>
          <w:i/>
          <w:iCs/>
        </w:rPr>
        <w:t>anugerahkan</w:t>
      </w:r>
      <w:r>
        <w:t xml:space="preserve"> dalam konstruksi diatesis objek, 4 diisi oleh nomina, yaitu </w:t>
      </w:r>
      <w:r>
        <w:rPr>
          <w:i/>
          <w:iCs/>
        </w:rPr>
        <w:t>Allah (SWT)</w:t>
      </w:r>
      <w:r>
        <w:t xml:space="preserve"> dan </w:t>
      </w:r>
      <w:r>
        <w:rPr>
          <w:i/>
          <w:iCs/>
        </w:rPr>
        <w:t>Tuhan</w:t>
      </w:r>
      <w:r>
        <w:t xml:space="preserve">. Yang lebih menarik adalah terdapat pula tendensi perbedaan pronomina terkait verba tertentu dalam diatesis objek. Sebagai contoh, kami tampilkan persentase Agen pronomina untuk </w:t>
      </w:r>
      <w:r>
        <w:rPr>
          <w:i/>
          <w:iCs/>
        </w:rPr>
        <w:t>berikan</w:t>
      </w:r>
      <w:r>
        <w:t xml:space="preserve"> dan </w:t>
      </w:r>
      <w:r>
        <w:rPr>
          <w:i/>
          <w:iCs/>
        </w:rPr>
        <w:t>ceritakan</w:t>
      </w:r>
      <w:r>
        <w:t>.</w:t>
      </w:r>
    </w:p>
    <w:tbl>
      <w:tblPr>
        <w:tblStyle w:val="Table"/>
        <w:tblW w:w="5000" w:type="pct"/>
        <w:tblLook w:val="0000" w:firstRow="0" w:lastRow="0" w:firstColumn="0" w:lastColumn="0" w:noHBand="0" w:noVBand="0"/>
      </w:tblPr>
      <w:tblGrid>
        <w:gridCol w:w="9576"/>
      </w:tblGrid>
      <w:tr w:rsidR="007200F4" w14:paraId="7B359B66" w14:textId="77777777">
        <w:tc>
          <w:tcPr>
            <w:tcW w:w="0" w:type="auto"/>
          </w:tcPr>
          <w:p w14:paraId="38B38FD9" w14:textId="77777777" w:rsidR="007200F4" w:rsidRDefault="00000000">
            <w:pPr>
              <w:jc w:val="center"/>
            </w:pPr>
            <w:bookmarkStart w:id="9" w:name="fig-pronoun-agent-comparison"/>
            <w:r>
              <w:rPr>
                <w:noProof/>
              </w:rPr>
              <w:drawing>
                <wp:inline distT="0" distB="0" distL="0" distR="0" wp14:anchorId="7797F02E" wp14:editId="1AE619B6">
                  <wp:extent cx="3566160" cy="237744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ajeg_artawa_2023-02-06-voice-cxn-for-tbik_files/figure-docx/fig-pronoun-agent-comparison-1.png"/>
                          <pic:cNvPicPr>
                            <a:picLocks noChangeAspect="1" noChangeArrowheads="1"/>
                          </pic:cNvPicPr>
                        </pic:nvPicPr>
                        <pic:blipFill>
                          <a:blip r:embed="rId9"/>
                          <a:stretch>
                            <a:fillRect/>
                          </a:stretch>
                        </pic:blipFill>
                        <pic:spPr bwMode="auto">
                          <a:xfrm>
                            <a:off x="0" y="0"/>
                            <a:ext cx="3566160" cy="2377440"/>
                          </a:xfrm>
                          <a:prstGeom prst="rect">
                            <a:avLst/>
                          </a:prstGeom>
                          <a:noFill/>
                          <a:ln w="9525">
                            <a:noFill/>
                            <a:headEnd/>
                            <a:tailEnd/>
                          </a:ln>
                        </pic:spPr>
                      </pic:pic>
                    </a:graphicData>
                  </a:graphic>
                </wp:inline>
              </w:drawing>
            </w:r>
          </w:p>
          <w:p w14:paraId="5BA244C8" w14:textId="77777777" w:rsidR="007200F4" w:rsidRDefault="00000000">
            <w:pPr>
              <w:pStyle w:val="ImageCaption"/>
            </w:pPr>
            <w:r>
              <w:lastRenderedPageBreak/>
              <w:t xml:space="preserve">Gambar 2: Distribusi AGEN pronomina dalam diatesis objektif untuk </w:t>
            </w:r>
            <w:r>
              <w:rPr>
                <w:b/>
                <w:bCs/>
              </w:rPr>
              <w:t>ajukan</w:t>
            </w:r>
            <w:r>
              <w:t xml:space="preserve">, </w:t>
            </w:r>
            <w:r>
              <w:rPr>
                <w:b/>
                <w:bCs/>
              </w:rPr>
              <w:t>berikan</w:t>
            </w:r>
            <w:r>
              <w:t xml:space="preserve">, dan </w:t>
            </w:r>
            <w:r>
              <w:rPr>
                <w:b/>
                <w:bCs/>
              </w:rPr>
              <w:t>ceritakan</w:t>
            </w:r>
          </w:p>
        </w:tc>
        <w:bookmarkEnd w:id="9"/>
      </w:tr>
    </w:tbl>
    <w:p w14:paraId="529783BA" w14:textId="77777777" w:rsidR="007200F4" w:rsidRDefault="00000000">
      <w:pPr>
        <w:pStyle w:val="Heading2"/>
      </w:pPr>
      <w:bookmarkStart w:id="10" w:name="sec-dca"/>
      <w:bookmarkEnd w:id="4"/>
      <w:bookmarkEnd w:id="5"/>
      <w:r>
        <w:lastRenderedPageBreak/>
        <w:t>4.2 Kajian kuantitatif atas preferensi leksikal dalam diatesis</w:t>
      </w:r>
    </w:p>
    <w:p w14:paraId="19A55129" w14:textId="77777777" w:rsidR="007200F4" w:rsidRDefault="00000000">
      <w:pPr>
        <w:pStyle w:val="Compact"/>
        <w:numPr>
          <w:ilvl w:val="0"/>
          <w:numId w:val="145"/>
        </w:numPr>
      </w:pPr>
      <w:r>
        <w:t>Analisis Koleksem Khas sebagai teknik</w:t>
      </w:r>
    </w:p>
    <w:p w14:paraId="76275C85" w14:textId="77777777" w:rsidR="007200F4" w:rsidRPr="00467163" w:rsidRDefault="00000000">
      <w:pPr>
        <w:pStyle w:val="Compact"/>
        <w:numPr>
          <w:ilvl w:val="0"/>
          <w:numId w:val="145"/>
        </w:numPr>
        <w:rPr>
          <w:lang w:val="de-DE"/>
        </w:rPr>
      </w:pPr>
      <w:r w:rsidRPr="00467163">
        <w:rPr>
          <w:lang w:val="de-DE"/>
        </w:rPr>
        <w:t>Implikasi kespesifikan leksikal dalam tata bahasa</w:t>
      </w:r>
    </w:p>
    <w:p w14:paraId="5F155738" w14:textId="77777777" w:rsidR="007200F4" w:rsidRPr="00467163" w:rsidRDefault="00000000">
      <w:pPr>
        <w:pStyle w:val="Compact"/>
        <w:numPr>
          <w:ilvl w:val="1"/>
          <w:numId w:val="146"/>
        </w:numPr>
        <w:rPr>
          <w:lang w:val="de-DE"/>
        </w:rPr>
      </w:pPr>
      <w:r w:rsidRPr="00467163">
        <w:rPr>
          <w:lang w:val="de-DE"/>
        </w:rPr>
        <w:t xml:space="preserve">Kajian di bahasa Inggris juga menunjukkan bahwa terdapat kelompok frasa verba berpreposisi yang tidak memiliki bentuk pasif </w:t>
      </w:r>
      <w:hyperlink w:anchor="ref-rice1987">
        <w:r w:rsidRPr="00467163">
          <w:rPr>
            <w:rStyle w:val="Hyperlink"/>
            <w:lang w:val="de-DE"/>
          </w:rPr>
          <w:t>[5]</w:t>
        </w:r>
      </w:hyperlink>
    </w:p>
    <w:p w14:paraId="50BFF7C1" w14:textId="77777777" w:rsidR="007200F4" w:rsidRPr="00467163" w:rsidRDefault="00000000">
      <w:pPr>
        <w:pStyle w:val="Heading1"/>
        <w:rPr>
          <w:lang w:val="de-DE"/>
        </w:rPr>
      </w:pPr>
      <w:bookmarkStart w:id="11" w:name="simpulan"/>
      <w:bookmarkEnd w:id="3"/>
      <w:bookmarkEnd w:id="10"/>
      <w:r w:rsidRPr="00467163">
        <w:rPr>
          <w:lang w:val="de-DE"/>
        </w:rPr>
        <w:t>5. Simpulan</w:t>
      </w:r>
    </w:p>
    <w:p w14:paraId="6F907CFB" w14:textId="77777777" w:rsidR="007200F4" w:rsidRPr="00467163" w:rsidRDefault="00000000">
      <w:pPr>
        <w:pStyle w:val="Heading1"/>
        <w:rPr>
          <w:lang w:val="de-DE"/>
        </w:rPr>
      </w:pPr>
      <w:bookmarkStart w:id="12" w:name="daftar-pustaka"/>
      <w:bookmarkEnd w:id="11"/>
      <w:r w:rsidRPr="00467163">
        <w:rPr>
          <w:lang w:val="de-DE"/>
        </w:rPr>
        <w:t>Daftar pustaka</w:t>
      </w:r>
    </w:p>
    <w:p w14:paraId="6CBE8913" w14:textId="77777777" w:rsidR="00CF6B74" w:rsidRDefault="00CF6B74" w:rsidP="00CF6B74">
      <w:pPr>
        <w:pStyle w:val="Bibliography"/>
        <w:ind w:left="426" w:hanging="426"/>
        <w:jc w:val="both"/>
      </w:pPr>
      <w:bookmarkStart w:id="13" w:name="ref-zúñiga2019"/>
      <w:bookmarkStart w:id="14" w:name="refs"/>
      <w:bookmarkEnd w:id="12"/>
      <w:r>
        <w:t xml:space="preserve">[1] </w:t>
      </w:r>
      <w:r>
        <w:tab/>
        <w:t xml:space="preserve">F. Zúñiga and S. Kittilä, </w:t>
      </w:r>
      <w:r>
        <w:rPr>
          <w:i/>
          <w:iCs/>
        </w:rPr>
        <w:t>Grammatical voice</w:t>
      </w:r>
      <w:r>
        <w:t xml:space="preserve">, 1st ed. Cambridge ; New York: Cambridge University Press, 2019. doi: </w:t>
      </w:r>
      <w:hyperlink r:id="rId10">
        <w:r>
          <w:rPr>
            <w:rStyle w:val="Hyperlink"/>
          </w:rPr>
          <w:t>10.1017/9781316671399</w:t>
        </w:r>
      </w:hyperlink>
      <w:r>
        <w:t>.</w:t>
      </w:r>
    </w:p>
    <w:p w14:paraId="649D8108" w14:textId="77777777" w:rsidR="00CF6B74" w:rsidRDefault="00CF6B74" w:rsidP="00CF6B74">
      <w:pPr>
        <w:pStyle w:val="Bibliography"/>
        <w:ind w:left="426" w:hanging="426"/>
        <w:jc w:val="both"/>
      </w:pPr>
      <w:bookmarkStart w:id="15" w:name="ref-langacker_cognitive_2008"/>
      <w:bookmarkEnd w:id="13"/>
      <w:r>
        <w:t xml:space="preserve">[2] </w:t>
      </w:r>
      <w:r>
        <w:tab/>
        <w:t xml:space="preserve">R. W. Langacker, </w:t>
      </w:r>
      <w:r>
        <w:rPr>
          <w:i/>
          <w:iCs/>
        </w:rPr>
        <w:t>Cognitive grammar: A basic introduction</w:t>
      </w:r>
      <w:r>
        <w:t>. Oxford: Oxford University Press, 2008.</w:t>
      </w:r>
    </w:p>
    <w:p w14:paraId="096BF5BD" w14:textId="77777777" w:rsidR="00CF6B74" w:rsidRDefault="00CF6B74" w:rsidP="00CF6B74">
      <w:pPr>
        <w:pStyle w:val="Bibliography"/>
        <w:ind w:left="426" w:hanging="426"/>
        <w:jc w:val="both"/>
      </w:pPr>
      <w:bookmarkStart w:id="16" w:name="ref-maldonado_grammatical_2007"/>
      <w:bookmarkEnd w:id="15"/>
      <w:r>
        <w:t xml:space="preserve">[3] </w:t>
      </w:r>
      <w:r>
        <w:tab/>
        <w:t xml:space="preserve">R. Maldonado, “Grammatical voice in Cognitive Grammar,” in </w:t>
      </w:r>
      <w:r>
        <w:rPr>
          <w:i/>
          <w:iCs/>
        </w:rPr>
        <w:t>The Oxford Handbook of Cognitive Linguistics</w:t>
      </w:r>
      <w:r>
        <w:t>, D. Geeraerts and H. Cuyckens, Eds., Oxford: Oxford University Press, 2007, pp. 829–868.</w:t>
      </w:r>
    </w:p>
    <w:p w14:paraId="0DBF015F" w14:textId="77777777" w:rsidR="00CF6B74" w:rsidRDefault="00CF6B74" w:rsidP="00CF6B74">
      <w:pPr>
        <w:pStyle w:val="Bibliography"/>
        <w:ind w:left="426" w:hanging="426"/>
        <w:jc w:val="both"/>
      </w:pPr>
      <w:bookmarkStart w:id="17" w:name="ref-shibatani_conceptual_2006"/>
      <w:bookmarkEnd w:id="16"/>
      <w:r>
        <w:t xml:space="preserve">[4] </w:t>
      </w:r>
      <w:r>
        <w:tab/>
        <w:t xml:space="preserve">M. Shibatani, “On the conceptual framework for voice phenomena,” </w:t>
      </w:r>
      <w:r>
        <w:rPr>
          <w:i/>
          <w:iCs/>
        </w:rPr>
        <w:t>Linguistics</w:t>
      </w:r>
      <w:r>
        <w:t>, vol. 44, no. 2, pp. 217–269, Mar. 2006.</w:t>
      </w:r>
    </w:p>
    <w:p w14:paraId="73A44558" w14:textId="77777777" w:rsidR="00CF6B74" w:rsidRDefault="00CF6B74" w:rsidP="00CF6B74">
      <w:pPr>
        <w:pStyle w:val="Bibliography"/>
        <w:ind w:left="426" w:hanging="426"/>
        <w:jc w:val="both"/>
      </w:pPr>
      <w:bookmarkStart w:id="18" w:name="ref-arka2008"/>
      <w:bookmarkEnd w:id="17"/>
      <w:r>
        <w:t xml:space="preserve">[5] </w:t>
      </w:r>
      <w:r>
        <w:tab/>
        <w:t>I. W. Arka and C. D. Manning, “Voice and grammatical relations in indonesian: A new perspective,” P. K. Austin and S. Musgrave, Eds., Stanford, California: Center for the Study of Language; Information, 2008, pp. 45–69.</w:t>
      </w:r>
    </w:p>
    <w:p w14:paraId="000524C7" w14:textId="77777777" w:rsidR="00CF6B74" w:rsidRDefault="00CF6B74" w:rsidP="00CF6B74">
      <w:pPr>
        <w:pStyle w:val="Bibliography"/>
        <w:ind w:left="426" w:hanging="426"/>
        <w:jc w:val="both"/>
      </w:pPr>
      <w:bookmarkStart w:id="19" w:name="ref-arka_voice_2003"/>
      <w:bookmarkEnd w:id="18"/>
      <w:r>
        <w:t xml:space="preserve">[6] </w:t>
      </w:r>
      <w:r>
        <w:tab/>
        <w:t xml:space="preserve">I. W. Arka, “Voice systems in the Austronesian Languages of Nusantara: Typology, Symmetricality, and Undergoer Orientation,” </w:t>
      </w:r>
      <w:r>
        <w:rPr>
          <w:i/>
          <w:iCs/>
        </w:rPr>
        <w:t>Linguistik Indonesia</w:t>
      </w:r>
      <w:r>
        <w:t>, vol. 21, no. 1, pp. 113–139, 2003.</w:t>
      </w:r>
    </w:p>
    <w:p w14:paraId="606097AB" w14:textId="77777777" w:rsidR="00CF6B74" w:rsidRDefault="00CF6B74" w:rsidP="00CF6B74">
      <w:pPr>
        <w:pStyle w:val="Bibliography"/>
        <w:ind w:left="426" w:hanging="426"/>
        <w:jc w:val="both"/>
      </w:pPr>
      <w:bookmarkStart w:id="20" w:name="ref-arka2021"/>
      <w:bookmarkEnd w:id="19"/>
      <w:r>
        <w:t xml:space="preserve">[7] </w:t>
      </w:r>
      <w:r>
        <w:tab/>
        <w:t>I. W. Arka, “Pivot selection and puzzling relativisation in indonesian,” I. W. Arka, A. Asudeh, and T. H. King, Eds., New York: Oxford University Press, 2021, pp. 181–202.</w:t>
      </w:r>
    </w:p>
    <w:p w14:paraId="74A76FDC" w14:textId="77777777" w:rsidR="00CF6B74" w:rsidRDefault="00CF6B74" w:rsidP="00CF6B74">
      <w:pPr>
        <w:pStyle w:val="Bibliography"/>
        <w:ind w:left="426" w:hanging="426"/>
        <w:jc w:val="both"/>
      </w:pPr>
      <w:bookmarkStart w:id="21" w:name="ref-artawa_pemarkahan_2020"/>
      <w:bookmarkEnd w:id="20"/>
      <w:r>
        <w:t xml:space="preserve">[8] </w:t>
      </w:r>
      <w:r>
        <w:tab/>
        <w:t xml:space="preserve">K. Artawa and K. W. Purnawati, “Pemarkahan Diatesis Bahasa Indonesia: Kajian Tipologi Linguistik,” </w:t>
      </w:r>
      <w:r>
        <w:rPr>
          <w:i/>
          <w:iCs/>
        </w:rPr>
        <w:t>MOZAIK HUMANIORA</w:t>
      </w:r>
      <w:r>
        <w:t xml:space="preserve">, vol. 20, no. 1, pp. 26–38, Aug. 2020, doi: </w:t>
      </w:r>
      <w:hyperlink r:id="rId11">
        <w:r>
          <w:rPr>
            <w:rStyle w:val="Hyperlink"/>
          </w:rPr>
          <w:t>10.20473/mozaik.v20i1.15128</w:t>
        </w:r>
      </w:hyperlink>
      <w:r>
        <w:t>.</w:t>
      </w:r>
    </w:p>
    <w:p w14:paraId="567B3279" w14:textId="77777777" w:rsidR="00CF6B74" w:rsidRDefault="00CF6B74" w:rsidP="00CF6B74">
      <w:pPr>
        <w:pStyle w:val="Bibliography"/>
        <w:ind w:left="426" w:hanging="426"/>
        <w:jc w:val="both"/>
      </w:pPr>
      <w:bookmarkStart w:id="22" w:name="ref-moeliono2017"/>
      <w:bookmarkEnd w:id="21"/>
      <w:r>
        <w:t xml:space="preserve">[9] </w:t>
      </w:r>
      <w:r>
        <w:tab/>
        <w:t xml:space="preserve">A. M. Moeliono, H. Lapoliwa, H. Alwi, S. S. Tjatur, W. Sasangka, and S. Sugiyono, </w:t>
      </w:r>
      <w:r>
        <w:rPr>
          <w:i/>
          <w:iCs/>
        </w:rPr>
        <w:t>Tata bahasa baku bahasa Indonesia</w:t>
      </w:r>
      <w:r>
        <w:t xml:space="preserve">, Edisi Keempat. Jakarta: Badan Pengembangan dan Pembinaan Bahasa, Kementrian Pendidikan dan Kebudayaan, 2017. Available: </w:t>
      </w:r>
      <w:hyperlink r:id="rId12">
        <w:r>
          <w:rPr>
            <w:rStyle w:val="Hyperlink"/>
          </w:rPr>
          <w:t>http://repositori.kemdikbud.go.id/16351/</w:t>
        </w:r>
      </w:hyperlink>
    </w:p>
    <w:p w14:paraId="4F4C26D8" w14:textId="77777777" w:rsidR="00CF6B74" w:rsidRDefault="00CF6B74" w:rsidP="00CF6B74">
      <w:pPr>
        <w:pStyle w:val="Bibliography"/>
        <w:ind w:left="426" w:hanging="426"/>
        <w:jc w:val="both"/>
      </w:pPr>
      <w:bookmarkStart w:id="23" w:name="ref-sneddon2010"/>
      <w:bookmarkEnd w:id="22"/>
      <w:r>
        <w:t xml:space="preserve">[10] </w:t>
      </w:r>
      <w:r>
        <w:tab/>
        <w:t xml:space="preserve">J. N. Sneddon, A. Adelaar, D. N. Djenar, and M. C. Ewing, </w:t>
      </w:r>
      <w:r>
        <w:rPr>
          <w:i/>
          <w:iCs/>
        </w:rPr>
        <w:t>Indonesian reference grammar</w:t>
      </w:r>
      <w:r>
        <w:t>, 2nd ed. Crows Nest, New South Wales, Australia: Allen &amp; Unwin, 2010.</w:t>
      </w:r>
    </w:p>
    <w:p w14:paraId="377B12F9" w14:textId="77777777" w:rsidR="00CF6B74" w:rsidRDefault="00CF6B74" w:rsidP="00CF6B74">
      <w:pPr>
        <w:pStyle w:val="Bibliography"/>
        <w:ind w:left="426" w:hanging="426"/>
        <w:jc w:val="both"/>
      </w:pPr>
      <w:bookmarkStart w:id="24" w:name="ref-riesberg_symmetrical_2014"/>
      <w:bookmarkEnd w:id="23"/>
      <w:r>
        <w:t xml:space="preserve">[11] </w:t>
      </w:r>
      <w:r>
        <w:tab/>
        <w:t xml:space="preserve">S. Riesberg, </w:t>
      </w:r>
      <w:r>
        <w:rPr>
          <w:i/>
          <w:iCs/>
        </w:rPr>
        <w:t>Symmetrical Voice and Linking in Western Austronesian Languages</w:t>
      </w:r>
      <w:r>
        <w:t xml:space="preserve">. Berlin: De Gruyter Mouton, 2014. doi: </w:t>
      </w:r>
      <w:hyperlink r:id="rId13">
        <w:r>
          <w:rPr>
            <w:rStyle w:val="Hyperlink"/>
          </w:rPr>
          <w:t>10.1515/9781614518716</w:t>
        </w:r>
      </w:hyperlink>
      <w:r>
        <w:t>.</w:t>
      </w:r>
    </w:p>
    <w:p w14:paraId="0793A085" w14:textId="77777777" w:rsidR="00CF6B74" w:rsidRDefault="00CF6B74" w:rsidP="00CF6B74">
      <w:pPr>
        <w:pStyle w:val="Bibliography"/>
        <w:ind w:left="426" w:hanging="426"/>
        <w:jc w:val="both"/>
      </w:pPr>
      <w:bookmarkStart w:id="25" w:name="ref-alwi2000"/>
      <w:bookmarkEnd w:id="24"/>
      <w:r>
        <w:t xml:space="preserve">[12] </w:t>
      </w:r>
      <w:r>
        <w:tab/>
        <w:t xml:space="preserve">H. Alwi, S. Dardjowidjojo, H. Lapoliwa, and A. M. Moeliono, </w:t>
      </w:r>
      <w:r>
        <w:rPr>
          <w:i/>
          <w:iCs/>
        </w:rPr>
        <w:t>Tata bahasa baku bahasa indonesia</w:t>
      </w:r>
      <w:r>
        <w:t>, 3rd ed. Jakarta: Balai Pustaka, 2000.</w:t>
      </w:r>
    </w:p>
    <w:p w14:paraId="4581BB6C" w14:textId="77777777" w:rsidR="00CF6B74" w:rsidRDefault="00CF6B74" w:rsidP="00CF6B74">
      <w:pPr>
        <w:pStyle w:val="Bibliography"/>
        <w:ind w:left="426" w:hanging="426"/>
        <w:jc w:val="both"/>
      </w:pPr>
      <w:bookmarkStart w:id="26" w:name="ref-rra:2020"/>
      <w:bookmarkEnd w:id="25"/>
      <w:r>
        <w:t xml:space="preserve">[13] </w:t>
      </w:r>
      <w:r>
        <w:tab/>
        <w:t xml:space="preserve">G. P. W. Rajeg, I. M. Rajeg, and I. W. Arka, “Corpus-based approach meets LFG: The puzzling case of voice alternations of </w:t>
      </w:r>
      <w:r>
        <w:rPr>
          <w:i/>
          <w:iCs/>
        </w:rPr>
        <w:t>kena</w:t>
      </w:r>
      <w:r>
        <w:t xml:space="preserve">-verbs in indonesian,” M. Butt and I. Toivonen, Eds., Stanford: CSLI Publications, 2020, p. 307327. doi: </w:t>
      </w:r>
      <w:hyperlink r:id="rId14">
        <w:r>
          <w:rPr>
            <w:rStyle w:val="Hyperlink"/>
          </w:rPr>
          <w:t>10.6084/m9.figshare.12423788</w:t>
        </w:r>
      </w:hyperlink>
      <w:r>
        <w:t>.</w:t>
      </w:r>
    </w:p>
    <w:p w14:paraId="1D00056A" w14:textId="77777777" w:rsidR="00CF6B74" w:rsidRDefault="00CF6B74" w:rsidP="00CF6B74">
      <w:pPr>
        <w:pStyle w:val="Bibliography"/>
        <w:ind w:left="426" w:hanging="426"/>
        <w:jc w:val="both"/>
      </w:pPr>
      <w:bookmarkStart w:id="27" w:name="ref-rajeg2022"/>
      <w:bookmarkEnd w:id="26"/>
      <w:r>
        <w:t xml:space="preserve">[14] </w:t>
      </w:r>
      <w:r>
        <w:tab/>
        <w:t xml:space="preserve">I. M. Rajeg, G. P. W. Rajeg, and I. W. Arka, “Corpus linguistic and experimental studies on the meaning-preserving hypothesis in Indonesian voice alternations,” </w:t>
      </w:r>
      <w:r>
        <w:rPr>
          <w:i/>
          <w:iCs/>
        </w:rPr>
        <w:t>Linguistics Vanguard</w:t>
      </w:r>
      <w:r>
        <w:t xml:space="preserve">, vol. 8, no. 1, pp. 367–382, 2022, doi: </w:t>
      </w:r>
      <w:hyperlink r:id="rId15">
        <w:r>
          <w:rPr>
            <w:rStyle w:val="Hyperlink"/>
          </w:rPr>
          <w:t>10.1515/lingvan-2020-0104</w:t>
        </w:r>
      </w:hyperlink>
      <w:r>
        <w:t>.</w:t>
      </w:r>
    </w:p>
    <w:p w14:paraId="24DC6B8E" w14:textId="77777777" w:rsidR="00CF6B74" w:rsidRDefault="00CF6B74" w:rsidP="00CF6B74">
      <w:pPr>
        <w:pStyle w:val="Bibliography"/>
        <w:ind w:left="426" w:hanging="426"/>
        <w:jc w:val="both"/>
      </w:pPr>
      <w:bookmarkStart w:id="28" w:name="ref-lier2022"/>
      <w:bookmarkEnd w:id="27"/>
      <w:r>
        <w:t xml:space="preserve">[15] </w:t>
      </w:r>
      <w:r>
        <w:tab/>
        <w:t xml:space="preserve">E. van Lier and M. Messerschmidt, “Lexical restrictions on grammatical relations in voice and valency constructions,” </w:t>
      </w:r>
      <w:r>
        <w:rPr>
          <w:i/>
          <w:iCs/>
        </w:rPr>
        <w:t>STUF - Language Typology and Universals</w:t>
      </w:r>
      <w:r>
        <w:t xml:space="preserve">, vol. 75, no. 1, pp. 1–20, Apr. 2022, doi: </w:t>
      </w:r>
      <w:hyperlink r:id="rId16">
        <w:r>
          <w:rPr>
            <w:rStyle w:val="Hyperlink"/>
          </w:rPr>
          <w:t>10.1515/stuf-2022-1047</w:t>
        </w:r>
      </w:hyperlink>
      <w:r>
        <w:t>.</w:t>
      </w:r>
    </w:p>
    <w:p w14:paraId="3716FB55" w14:textId="77777777" w:rsidR="00CF6B74" w:rsidRDefault="00CF6B74" w:rsidP="00CF6B74">
      <w:pPr>
        <w:pStyle w:val="Bibliography"/>
        <w:ind w:left="426" w:hanging="426"/>
        <w:jc w:val="both"/>
      </w:pPr>
      <w:bookmarkStart w:id="29" w:name="ref-rajeg2023"/>
      <w:bookmarkEnd w:id="28"/>
      <w:r>
        <w:t xml:space="preserve">[16] </w:t>
      </w:r>
      <w:r>
        <w:tab/>
        <w:t xml:space="preserve">G. P. W. Rajeg and K. Denistia, “Afiksasi Verba dalam Bahasa Indonesia,” </w:t>
      </w:r>
      <w:r>
        <w:rPr>
          <w:i/>
          <w:iCs/>
        </w:rPr>
        <w:t>figshare</w:t>
      </w:r>
      <w:r>
        <w:t xml:space="preserve">, Mar. 2023, doi: </w:t>
      </w:r>
      <w:hyperlink r:id="rId17">
        <w:r>
          <w:rPr>
            <w:rStyle w:val="Hyperlink"/>
          </w:rPr>
          <w:t>10.6084/m9.figshare.22336729</w:t>
        </w:r>
      </w:hyperlink>
      <w:r>
        <w:t>.</w:t>
      </w:r>
    </w:p>
    <w:p w14:paraId="07B4B011" w14:textId="77777777" w:rsidR="00CF6B74" w:rsidRDefault="00CF6B74" w:rsidP="00CF6B74">
      <w:pPr>
        <w:pStyle w:val="Bibliography"/>
        <w:ind w:left="426" w:hanging="426"/>
        <w:jc w:val="both"/>
      </w:pPr>
      <w:bookmarkStart w:id="30" w:name="ref-cole2008"/>
      <w:bookmarkEnd w:id="29"/>
      <w:r>
        <w:t xml:space="preserve">[17] </w:t>
      </w:r>
      <w:r>
        <w:tab/>
        <w:t xml:space="preserve">P. Cole, G. Hermon, and Yanti, “Voice in malay/indonesian,” </w:t>
      </w:r>
      <w:r>
        <w:rPr>
          <w:i/>
          <w:iCs/>
        </w:rPr>
        <w:t>Lingua</w:t>
      </w:r>
      <w:r>
        <w:t xml:space="preserve">, vol. 118, no. 10, pp. 1500–1553, Oct. 2008, doi: </w:t>
      </w:r>
      <w:hyperlink r:id="rId18">
        <w:r>
          <w:rPr>
            <w:rStyle w:val="Hyperlink"/>
          </w:rPr>
          <w:t>10.1016/j.lingua.2007.08.008</w:t>
        </w:r>
      </w:hyperlink>
      <w:r>
        <w:t>.</w:t>
      </w:r>
    </w:p>
    <w:p w14:paraId="39D33AE4" w14:textId="77777777" w:rsidR="00CF6B74" w:rsidRDefault="00CF6B74" w:rsidP="00CF6B74">
      <w:pPr>
        <w:pStyle w:val="Bibliography"/>
        <w:ind w:left="426" w:hanging="426"/>
        <w:jc w:val="both"/>
      </w:pPr>
      <w:bookmarkStart w:id="31" w:name="ref-udayana2013"/>
      <w:bookmarkEnd w:id="30"/>
      <w:r>
        <w:t xml:space="preserve">[18] </w:t>
      </w:r>
      <w:r>
        <w:tab/>
        <w:t>I. N. Udayana, “Voice and reflexives in balinese,” PhD thesis, Austin, TX, 2013.</w:t>
      </w:r>
    </w:p>
    <w:p w14:paraId="778717F0" w14:textId="77777777" w:rsidR="00CF6B74" w:rsidRDefault="00CF6B74" w:rsidP="00CF6B74">
      <w:pPr>
        <w:pStyle w:val="Bibliography"/>
        <w:ind w:left="426" w:hanging="426"/>
        <w:jc w:val="both"/>
      </w:pPr>
      <w:bookmarkStart w:id="32" w:name="ref-udayana2021"/>
      <w:bookmarkEnd w:id="31"/>
      <w:r>
        <w:t xml:space="preserve">[19] </w:t>
      </w:r>
      <w:r>
        <w:tab/>
        <w:t>I. N. Udayana, “Detransitivization strategy and the indonesian middles,” Atlantis Press, 2021, pp. 10–13.</w:t>
      </w:r>
    </w:p>
    <w:p w14:paraId="14AE4D99" w14:textId="77777777" w:rsidR="00CF6B74" w:rsidRDefault="00CF6B74" w:rsidP="0008642D">
      <w:pPr>
        <w:pStyle w:val="Bibliography"/>
        <w:ind w:left="426" w:hanging="426"/>
        <w:jc w:val="both"/>
      </w:pPr>
      <w:bookmarkStart w:id="33" w:name="ref-beavers2022"/>
      <w:bookmarkEnd w:id="32"/>
      <w:r>
        <w:t xml:space="preserve">[20] </w:t>
      </w:r>
      <w:r>
        <w:tab/>
        <w:t xml:space="preserve">J. Beavers and I. N. Udayana, “Middle voice as generalized argument suppression,” </w:t>
      </w:r>
      <w:r>
        <w:rPr>
          <w:i/>
          <w:iCs/>
        </w:rPr>
        <w:t>Natural Language &amp; Linguistic Theory</w:t>
      </w:r>
      <w:r>
        <w:t xml:space="preserve">, Jun. 2022, doi: </w:t>
      </w:r>
      <w:hyperlink r:id="rId19">
        <w:r>
          <w:rPr>
            <w:rStyle w:val="Hyperlink"/>
          </w:rPr>
          <w:t>10.1007/s11049-022-09542-5</w:t>
        </w:r>
      </w:hyperlink>
      <w:r>
        <w:t>.</w:t>
      </w:r>
    </w:p>
    <w:p w14:paraId="7DE3A059" w14:textId="77777777" w:rsidR="00CF6B74" w:rsidRDefault="00CF6B74" w:rsidP="00CF6B74">
      <w:pPr>
        <w:pStyle w:val="Bibliography"/>
        <w:ind w:left="426" w:hanging="426"/>
        <w:jc w:val="both"/>
      </w:pPr>
      <w:bookmarkStart w:id="34" w:name="ref-larasati2011"/>
      <w:bookmarkEnd w:id="33"/>
      <w:r>
        <w:lastRenderedPageBreak/>
        <w:t xml:space="preserve">[21] </w:t>
      </w:r>
      <w:r>
        <w:tab/>
        <w:t xml:space="preserve">S. D. Larasati, V. Kuboň, and D. Zeman, “Indonesian Morphology Tool (MorphInd): Towards an Indonesian Corpus,” Springer, Berlin, Heidelberg, Aug. 2011, pp. 119–129. doi: </w:t>
      </w:r>
      <w:hyperlink r:id="rId20">
        <w:r>
          <w:rPr>
            <w:rStyle w:val="Hyperlink"/>
          </w:rPr>
          <w:t>10.1007/978-3-642-23138-4_8</w:t>
        </w:r>
      </w:hyperlink>
      <w:r>
        <w:t>.</w:t>
      </w:r>
    </w:p>
    <w:p w14:paraId="208B7843" w14:textId="77777777" w:rsidR="00CF6B74" w:rsidRDefault="00CF6B74" w:rsidP="00CF6B74">
      <w:pPr>
        <w:pStyle w:val="Bibliography"/>
        <w:ind w:left="426" w:hanging="426"/>
        <w:jc w:val="both"/>
      </w:pPr>
      <w:bookmarkStart w:id="35" w:name="ref-nomoto2018"/>
      <w:bookmarkEnd w:id="34"/>
      <w:r>
        <w:t xml:space="preserve">[22] </w:t>
      </w:r>
      <w:r>
        <w:tab/>
        <w:t xml:space="preserve">H. Nomoto, H. Choi, D. Moeljadi, and F. Bond, “MALINDO morph: Morphological dictionary and analyser for malay/indonesian,” 2018, pp. 36–43. Available: </w:t>
      </w:r>
      <w:hyperlink r:id="rId21">
        <w:r>
          <w:rPr>
            <w:rStyle w:val="Hyperlink"/>
          </w:rPr>
          <w:t>http://lrec-conf.org/workshops/lrec2018/W29/pdf/8_W29.pdf</w:t>
        </w:r>
      </w:hyperlink>
    </w:p>
    <w:p w14:paraId="21915478" w14:textId="77777777" w:rsidR="00CF6B74" w:rsidRDefault="00CF6B74" w:rsidP="00CF6B74">
      <w:pPr>
        <w:pStyle w:val="Bibliography"/>
        <w:ind w:left="426" w:hanging="426"/>
        <w:jc w:val="both"/>
      </w:pPr>
      <w:bookmarkStart w:id="36" w:name="ref-rajeg"/>
      <w:bookmarkEnd w:id="35"/>
      <w:r>
        <w:t xml:space="preserve">[23] </w:t>
      </w:r>
      <w:r>
        <w:tab/>
        <w:t xml:space="preserve">G. P. W. Rajeg and K. Denistia, “VerbInd: Pangkalan data verba bahasa indonesia berbasis korpus.” 2023. doi: </w:t>
      </w:r>
      <w:hyperlink r:id="rId22">
        <w:r>
          <w:rPr>
            <w:rStyle w:val="Hyperlink"/>
          </w:rPr>
          <w:t>10.5281/zenodo.7947606</w:t>
        </w:r>
      </w:hyperlink>
      <w:r>
        <w:t>.</w:t>
      </w:r>
    </w:p>
    <w:p w14:paraId="5F6246ED" w14:textId="77777777" w:rsidR="00CF6B74" w:rsidRDefault="00CF6B74" w:rsidP="00CF6B74">
      <w:pPr>
        <w:pStyle w:val="Bibliography"/>
        <w:ind w:left="426" w:hanging="426"/>
        <w:jc w:val="both"/>
      </w:pPr>
      <w:bookmarkStart w:id="37" w:name="ref-stefanowitsch2003"/>
      <w:bookmarkEnd w:id="36"/>
      <w:r>
        <w:t xml:space="preserve">[24] </w:t>
      </w:r>
      <w:r>
        <w:tab/>
        <w:t xml:space="preserve">A. Stefanowitsch and S. Th. Gries, “Collostructions: Investigating the interaction of words and constructions,” </w:t>
      </w:r>
      <w:r>
        <w:rPr>
          <w:i/>
          <w:iCs/>
        </w:rPr>
        <w:t>International Journal of Corpus Linguistics</w:t>
      </w:r>
      <w:r>
        <w:t>, vol. 8, no. 2, pp. 209–243, 2003.</w:t>
      </w:r>
    </w:p>
    <w:p w14:paraId="5847C8F0" w14:textId="77777777" w:rsidR="00CF6B74" w:rsidRDefault="00CF6B74" w:rsidP="00CF6B74">
      <w:pPr>
        <w:pStyle w:val="Bibliography"/>
        <w:ind w:left="426" w:hanging="426"/>
        <w:jc w:val="both"/>
      </w:pPr>
      <w:bookmarkStart w:id="38" w:name="ref-gries2004"/>
      <w:bookmarkEnd w:id="37"/>
      <w:r>
        <w:t xml:space="preserve">[25] </w:t>
      </w:r>
      <w:r>
        <w:tab/>
        <w:t xml:space="preserve">S. Th. Gries and A. Stefanowitsch, “Extending collostructional analysis: A corpus-based perspective on ’alternations’,” </w:t>
      </w:r>
      <w:r>
        <w:rPr>
          <w:i/>
          <w:iCs/>
        </w:rPr>
        <w:t>International Journal of Corpus Linguistics</w:t>
      </w:r>
      <w:r>
        <w:t>, vol. 9, no. 1, pp. 97–129, 2004.</w:t>
      </w:r>
    </w:p>
    <w:p w14:paraId="54F48D08" w14:textId="77777777" w:rsidR="00CF6B74" w:rsidRDefault="00CF6B74" w:rsidP="00CF6B74">
      <w:pPr>
        <w:pStyle w:val="Bibliography"/>
        <w:ind w:left="426" w:hanging="426"/>
        <w:jc w:val="both"/>
      </w:pPr>
      <w:bookmarkStart w:id="39" w:name="ref-rajeg2018"/>
      <w:bookmarkEnd w:id="38"/>
      <w:r>
        <w:t xml:space="preserve">[26] </w:t>
      </w:r>
      <w:r>
        <w:tab/>
        <w:t xml:space="preserve">G. P. W. Rajeg, K. Denistia, and I. M. Rajeg, “Working with a linguistic corpus using r: An introductory note with indonesian negating construction,” </w:t>
      </w:r>
      <w:r>
        <w:rPr>
          <w:i/>
          <w:iCs/>
        </w:rPr>
        <w:t>Linguistik Indonesia</w:t>
      </w:r>
      <w:r>
        <w:t xml:space="preserve">, vol. 36, no. 1, pp. 1–36, 2018, doi: </w:t>
      </w:r>
      <w:hyperlink r:id="rId23">
        <w:r>
          <w:rPr>
            <w:rStyle w:val="Hyperlink"/>
          </w:rPr>
          <w:t>10.26499/li.v36i1.71</w:t>
        </w:r>
      </w:hyperlink>
      <w:r>
        <w:t>.</w:t>
      </w:r>
    </w:p>
    <w:p w14:paraId="44D350AF" w14:textId="77777777" w:rsidR="00CF6B74" w:rsidRDefault="00CF6B74" w:rsidP="00CF6B74">
      <w:pPr>
        <w:pStyle w:val="Bibliography"/>
        <w:ind w:left="426" w:hanging="426"/>
        <w:jc w:val="both"/>
      </w:pPr>
      <w:bookmarkStart w:id="40" w:name="ref-rajeg2021"/>
      <w:bookmarkEnd w:id="39"/>
      <w:r>
        <w:t xml:space="preserve">[27] </w:t>
      </w:r>
      <w:r>
        <w:tab/>
        <w:t xml:space="preserve">G. P. W. Rajeg and K. Denistia, “Distinctive Collexeme Analysis of Indonesian Causative Rival Affixes </w:t>
      </w:r>
      <w:r>
        <w:rPr>
          <w:i/>
          <w:iCs/>
        </w:rPr>
        <w:t>per</w:t>
      </w:r>
      <w:r>
        <w:t>- and -</w:t>
      </w:r>
      <w:r>
        <w:rPr>
          <w:i/>
          <w:iCs/>
        </w:rPr>
        <w:t>kan</w:t>
      </w:r>
      <w:r>
        <w:t xml:space="preserve">,” Jul. 2021, Available: </w:t>
      </w:r>
      <w:hyperlink r:id="rId24">
        <w:r>
          <w:rPr>
            <w:rStyle w:val="Hyperlink"/>
          </w:rPr>
          <w:t>https://doi.org/10.6084/m9.figshare.13602155</w:t>
        </w:r>
      </w:hyperlink>
    </w:p>
    <w:p w14:paraId="79CB2F2C" w14:textId="77777777" w:rsidR="00CF6B74" w:rsidRDefault="00CF6B74" w:rsidP="00CF6B74">
      <w:pPr>
        <w:pStyle w:val="Bibliography"/>
        <w:ind w:left="426" w:hanging="426"/>
        <w:jc w:val="both"/>
      </w:pPr>
      <w:bookmarkStart w:id="41" w:name="ref-rajeg2019"/>
      <w:bookmarkEnd w:id="40"/>
      <w:r>
        <w:t xml:space="preserve">[28] </w:t>
      </w:r>
      <w:r>
        <w:tab/>
        <w:t xml:space="preserve">G. P. W. Rajeg and I. M. Rajeg, “Analisis Koleksem Khas dan potensinya untuk kajian kemiripan makna konstruksional dalam Bahasa Indonesia,” I. N. Sudipa, Ed., Denpasar, Bali, Indonesia: Swasta Nulus, 2019, pp. 65–83. Available: </w:t>
      </w:r>
      <w:hyperlink r:id="rId25">
        <w:r>
          <w:rPr>
            <w:rStyle w:val="Hyperlink"/>
          </w:rPr>
          <w:t>https://doi.org/10.31227/osf.io/uwzts</w:t>
        </w:r>
      </w:hyperlink>
    </w:p>
    <w:p w14:paraId="02DDB6E1" w14:textId="77777777" w:rsidR="00CF6B74" w:rsidRDefault="00CF6B74" w:rsidP="00CF6B74">
      <w:pPr>
        <w:pStyle w:val="Bibliography"/>
        <w:ind w:left="426" w:hanging="426"/>
        <w:jc w:val="both"/>
      </w:pPr>
      <w:bookmarkStart w:id="42" w:name="ref-mcdonnell2016"/>
      <w:bookmarkEnd w:id="41"/>
      <w:r>
        <w:t xml:space="preserve">[29] </w:t>
      </w:r>
      <w:r>
        <w:tab/>
        <w:t>B. McDonnell, “Symmetrical voice constructions in besemah: A usage-based approach,” PhD thesis, Santa Barbara, USA, 2016.</w:t>
      </w:r>
    </w:p>
    <w:p w14:paraId="0EBD8E03" w14:textId="77777777" w:rsidR="00CF6B74" w:rsidRDefault="00CF6B74" w:rsidP="00CF6B74">
      <w:pPr>
        <w:pStyle w:val="Bibliography"/>
        <w:ind w:left="426" w:hanging="426"/>
        <w:jc w:val="both"/>
      </w:pPr>
      <w:bookmarkStart w:id="43" w:name="ref-siewierska_passive_2012-1"/>
      <w:bookmarkEnd w:id="42"/>
      <w:r>
        <w:t xml:space="preserve">[30] </w:t>
      </w:r>
      <w:r>
        <w:tab/>
        <w:t xml:space="preserve">A. Siewierska and D. Bakker, “Passive agents: Prototypical vs. Canonical passives,” in </w:t>
      </w:r>
      <w:r>
        <w:rPr>
          <w:i/>
          <w:iCs/>
        </w:rPr>
        <w:t>Canonical Morphology and Syntax</w:t>
      </w:r>
      <w:r>
        <w:t xml:space="preserve">, D. Brown, M. Chumakina, and G. G. Corbett, Eds., Oxford University Press, 2012, pp. 151–189. doi: </w:t>
      </w:r>
      <w:hyperlink r:id="rId26">
        <w:r>
          <w:rPr>
            <w:rStyle w:val="Hyperlink"/>
          </w:rPr>
          <w:t>10.1093/acprof:oso/9780199604326.003.0007</w:t>
        </w:r>
      </w:hyperlink>
      <w:r>
        <w:t>.</w:t>
      </w:r>
    </w:p>
    <w:p w14:paraId="18FDCC61" w14:textId="77777777" w:rsidR="00CF6B74" w:rsidRDefault="00CF6B74" w:rsidP="00CF6B74">
      <w:pPr>
        <w:pStyle w:val="Bibliography"/>
        <w:ind w:left="426" w:hanging="426"/>
        <w:jc w:val="both"/>
      </w:pPr>
      <w:bookmarkStart w:id="44" w:name="ref-shibatani_passives_1985"/>
      <w:bookmarkEnd w:id="43"/>
      <w:r>
        <w:t xml:space="preserve">[31] </w:t>
      </w:r>
      <w:r>
        <w:tab/>
        <w:t xml:space="preserve">M. Shibatani, “Passives and Related Constructions: A Prototype Analysis,” </w:t>
      </w:r>
      <w:r>
        <w:rPr>
          <w:i/>
          <w:iCs/>
        </w:rPr>
        <w:t>Language</w:t>
      </w:r>
      <w:r>
        <w:t xml:space="preserve">, vol. 61, no. 4, pp. 821–848, 1985, doi: </w:t>
      </w:r>
      <w:hyperlink r:id="rId27">
        <w:r>
          <w:rPr>
            <w:rStyle w:val="Hyperlink"/>
          </w:rPr>
          <w:t>10.2307/414491</w:t>
        </w:r>
      </w:hyperlink>
      <w:r>
        <w:t>.</w:t>
      </w:r>
    </w:p>
    <w:p w14:paraId="5B967410" w14:textId="77777777" w:rsidR="00CF6B74" w:rsidRDefault="00CF6B74" w:rsidP="00CF6B74">
      <w:pPr>
        <w:pStyle w:val="Bibliography"/>
        <w:ind w:left="426" w:hanging="426"/>
        <w:jc w:val="both"/>
      </w:pPr>
      <w:bookmarkStart w:id="45" w:name="ref-kemmer1993"/>
      <w:bookmarkEnd w:id="44"/>
      <w:r>
        <w:t xml:space="preserve">[32] </w:t>
      </w:r>
      <w:r>
        <w:tab/>
        <w:t xml:space="preserve">S. Kemmer, </w:t>
      </w:r>
      <w:r>
        <w:rPr>
          <w:i/>
          <w:iCs/>
        </w:rPr>
        <w:t>The middle voice</w:t>
      </w:r>
      <w:r>
        <w:t>. in Typological studies in language, no. v. 23. Amsterdam ; Philadelphia: J. Benjamins Pub. Co, 1993.</w:t>
      </w:r>
    </w:p>
    <w:p w14:paraId="35EF66F3" w14:textId="77777777" w:rsidR="00CF6B74" w:rsidRDefault="00CF6B74" w:rsidP="00CF6B74">
      <w:pPr>
        <w:pStyle w:val="Bibliography"/>
        <w:ind w:left="426" w:hanging="426"/>
        <w:jc w:val="both"/>
      </w:pPr>
      <w:bookmarkStart w:id="46" w:name="ref-shibatani2007"/>
      <w:bookmarkEnd w:id="45"/>
      <w:r>
        <w:t xml:space="preserve">[33] </w:t>
      </w:r>
      <w:r>
        <w:tab/>
        <w:t xml:space="preserve">M. Shibatani and K. Artawa, “The middle voice in balinese,” S. Iwasaki, A. Simpson, K. Adams, and P. Sidwell, Eds., Canberra, A.C.T., Australia: Pacific Linguistics, 2007, pp. 239–261. Available: </w:t>
      </w:r>
      <w:hyperlink r:id="rId28">
        <w:r>
          <w:rPr>
            <w:rStyle w:val="Hyperlink"/>
          </w:rPr>
          <w:t>http://sealang.net/sala/archives/pdf4/shibatani2007middle.pdf</w:t>
        </w:r>
      </w:hyperlink>
    </w:p>
    <w:p w14:paraId="3C4D49A6" w14:textId="77777777" w:rsidR="00CF6B74" w:rsidRDefault="00CF6B74" w:rsidP="00CF6B74">
      <w:pPr>
        <w:pStyle w:val="Bibliography"/>
        <w:ind w:left="426" w:hanging="426"/>
        <w:jc w:val="both"/>
      </w:pPr>
      <w:bookmarkStart w:id="47" w:name="ref-rajeg2017"/>
      <w:bookmarkEnd w:id="46"/>
      <w:r>
        <w:t xml:space="preserve">[34] </w:t>
      </w:r>
      <w:r>
        <w:tab/>
        <w:t>G. P. W. Rajeg and I. M. Rajeg, “Mempertemukan morfologi dan linguistik korpus: Kajian konstruksi pembentukan kata kerja [</w:t>
      </w:r>
      <w:r>
        <w:rPr>
          <w:i/>
          <w:iCs/>
        </w:rPr>
        <w:t>per</w:t>
      </w:r>
      <w:r>
        <w:t xml:space="preserve">-+Ajektiva] dalam Bahasa Indonesia,” I. N. Sudipa and M. S. Satyawati, Eds., Denpasar, Bali, Indonesia: Swasta Nulus, 2017, pp. 288–327. Available: </w:t>
      </w:r>
      <w:hyperlink r:id="rId29">
        <w:r>
          <w:rPr>
            <w:rStyle w:val="Hyperlink"/>
          </w:rPr>
          <w:t>https://doi.org/10.4225/03/5a0627de02453</w:t>
        </w:r>
      </w:hyperlink>
    </w:p>
    <w:p w14:paraId="7C0F492E" w14:textId="77777777" w:rsidR="00CF6B74" w:rsidRDefault="00CF6B74" w:rsidP="00CF6B74">
      <w:pPr>
        <w:pStyle w:val="Bibliography"/>
        <w:ind w:left="426" w:hanging="426"/>
        <w:jc w:val="both"/>
      </w:pPr>
      <w:bookmarkStart w:id="48" w:name="ref-stefanowitsch2013"/>
      <w:bookmarkEnd w:id="47"/>
      <w:r>
        <w:t xml:space="preserve">[35] </w:t>
      </w:r>
      <w:r>
        <w:tab/>
        <w:t xml:space="preserve">A. Stefanowitsch, “Collostructional analysis,” T. Hoffmann and G. Trousdale, Eds., Oxford: Oxford University Press, 2013, pp. 290–306. doi: </w:t>
      </w:r>
      <w:hyperlink r:id="rId30">
        <w:r>
          <w:rPr>
            <w:rStyle w:val="Hyperlink"/>
          </w:rPr>
          <w:t>10.1093/oxfordhb/9780195396683.013.0016</w:t>
        </w:r>
      </w:hyperlink>
      <w:r>
        <w:t>.</w:t>
      </w:r>
    </w:p>
    <w:p w14:paraId="71776EC8" w14:textId="77777777" w:rsidR="00CF6B74" w:rsidRDefault="00CF6B74" w:rsidP="00CF6B74">
      <w:pPr>
        <w:pStyle w:val="Bibliography"/>
        <w:ind w:left="426" w:hanging="426"/>
        <w:jc w:val="both"/>
      </w:pPr>
      <w:bookmarkStart w:id="49" w:name="ref-goldberg2013"/>
      <w:bookmarkEnd w:id="48"/>
      <w:r>
        <w:t xml:space="preserve">[36] </w:t>
      </w:r>
      <w:r>
        <w:tab/>
        <w:t xml:space="preserve">A. E. Goldberg, “Constructionist approaches,” T. Hoffmann and G. Trousdale, Eds., in Oxford handbooks online. Oxford: Oxford University Press, 2013, pp. 15–31. doi: </w:t>
      </w:r>
      <w:hyperlink r:id="rId31">
        <w:r>
          <w:rPr>
            <w:rStyle w:val="Hyperlink"/>
          </w:rPr>
          <w:t>10.1093/oxfordhb/9780195396683.013.0002</w:t>
        </w:r>
      </w:hyperlink>
      <w:r>
        <w:t>.</w:t>
      </w:r>
    </w:p>
    <w:p w14:paraId="0DE1DF47" w14:textId="77777777" w:rsidR="00CF6B74" w:rsidRDefault="00CF6B74" w:rsidP="00CF6B74">
      <w:pPr>
        <w:pStyle w:val="Bibliography"/>
        <w:ind w:left="426" w:hanging="426"/>
        <w:jc w:val="both"/>
      </w:pPr>
      <w:bookmarkStart w:id="50" w:name="ref-hilpert2020"/>
      <w:bookmarkEnd w:id="49"/>
      <w:r>
        <w:t xml:space="preserve">[37] </w:t>
      </w:r>
      <w:r>
        <w:tab/>
        <w:t>M. Hilpert, “Constructional approaches,” B. Aarts, J. Bowie, and G. Popova, Eds., First edition.Oxford ; New York, NY: Oxford University Press, 2020, pp. 106–123.</w:t>
      </w:r>
    </w:p>
    <w:p w14:paraId="2D3F5A92" w14:textId="77777777" w:rsidR="00CF6B74" w:rsidRDefault="00CF6B74" w:rsidP="00CF6B74">
      <w:pPr>
        <w:pStyle w:val="Bibliography"/>
        <w:ind w:left="426" w:hanging="426"/>
        <w:jc w:val="both"/>
      </w:pPr>
      <w:bookmarkStart w:id="51" w:name="ref-fried2015"/>
      <w:bookmarkEnd w:id="50"/>
      <w:r>
        <w:t xml:space="preserve">[38] </w:t>
      </w:r>
      <w:r>
        <w:tab/>
        <w:t xml:space="preserve">M. Fried, “28. Construction grammar,” T. Kiss and A. Alexiadou, Eds., in ScienceHandbücher zur sprach- und kommunikationswissenschaft / handbooks of linguistics and communication science (HSK), no. 42, vol. 2. Berlin, München, Boston: DE GRUYTER, 2015, pp. 974–1003. doi: </w:t>
      </w:r>
      <w:hyperlink r:id="rId32">
        <w:r>
          <w:rPr>
            <w:rStyle w:val="Hyperlink"/>
          </w:rPr>
          <w:t>10.1515/9783110363708-005</w:t>
        </w:r>
      </w:hyperlink>
      <w:r>
        <w:t>.</w:t>
      </w:r>
    </w:p>
    <w:p w14:paraId="72825A38" w14:textId="77777777" w:rsidR="00CF6B74" w:rsidRDefault="00CF6B74" w:rsidP="00CF6B74">
      <w:pPr>
        <w:pStyle w:val="Bibliography"/>
        <w:ind w:left="426" w:hanging="426"/>
        <w:jc w:val="both"/>
      </w:pPr>
      <w:bookmarkStart w:id="52" w:name="ref-rajeg2019a"/>
      <w:bookmarkEnd w:id="51"/>
      <w:r>
        <w:t xml:space="preserve">[39] </w:t>
      </w:r>
      <w:r>
        <w:tab/>
        <w:t xml:space="preserve">G. P. W. Rajeg and I. M. Rajeg, “Pemahaman kuantitatif dasar dan penerapannya dalam mengkaji keterkaitan antara bentuk dan makna,” </w:t>
      </w:r>
      <w:r>
        <w:rPr>
          <w:i/>
          <w:iCs/>
        </w:rPr>
        <w:t>Linguistik Indonesia</w:t>
      </w:r>
      <w:r>
        <w:t xml:space="preserve">, vol. 37, no. 1, pp. 13–31, 2019, doi: </w:t>
      </w:r>
      <w:hyperlink r:id="rId33">
        <w:r>
          <w:rPr>
            <w:rStyle w:val="Hyperlink"/>
          </w:rPr>
          <w:t>10.26499/li.v37i1.87</w:t>
        </w:r>
      </w:hyperlink>
      <w:r>
        <w:t>.</w:t>
      </w:r>
    </w:p>
    <w:p w14:paraId="0DCC059E" w14:textId="77777777" w:rsidR="00CF6B74" w:rsidRDefault="00CF6B74" w:rsidP="00CF6B74">
      <w:pPr>
        <w:pStyle w:val="Bibliography"/>
        <w:ind w:left="426" w:hanging="426"/>
        <w:jc w:val="both"/>
      </w:pPr>
      <w:bookmarkStart w:id="53" w:name="ref-flach2021"/>
      <w:bookmarkEnd w:id="52"/>
      <w:r>
        <w:t xml:space="preserve">[40] </w:t>
      </w:r>
      <w:r>
        <w:tab/>
        <w:t xml:space="preserve">S. Flach, </w:t>
      </w:r>
      <w:r>
        <w:rPr>
          <w:i/>
          <w:iCs/>
        </w:rPr>
        <w:t>Collostructions: An r implementation for the family of collostructional methods</w:t>
      </w:r>
      <w:r>
        <w:t xml:space="preserve">. 2021. Available: </w:t>
      </w:r>
      <w:hyperlink r:id="rId34">
        <w:r>
          <w:rPr>
            <w:rStyle w:val="Hyperlink"/>
          </w:rPr>
          <w:t>www.sfla.ch</w:t>
        </w:r>
      </w:hyperlink>
    </w:p>
    <w:p w14:paraId="670027D5" w14:textId="77777777" w:rsidR="00CF6B74" w:rsidRDefault="00CF6B74" w:rsidP="00CF6B74">
      <w:pPr>
        <w:pStyle w:val="Bibliography"/>
        <w:ind w:left="426" w:hanging="426"/>
        <w:jc w:val="both"/>
      </w:pPr>
      <w:bookmarkStart w:id="54" w:name="ref-rcore2022"/>
      <w:bookmarkEnd w:id="53"/>
      <w:r>
        <w:lastRenderedPageBreak/>
        <w:t xml:space="preserve">[41] </w:t>
      </w:r>
      <w:r>
        <w:tab/>
        <w:t xml:space="preserve">R Core Team, </w:t>
      </w:r>
      <w:r>
        <w:rPr>
          <w:i/>
          <w:iCs/>
        </w:rPr>
        <w:t>R: A language and environment for statistical computing</w:t>
      </w:r>
      <w:r>
        <w:t xml:space="preserve">. Vienna, Austria: R Foundation for Statistical Computing, 2022. Available: </w:t>
      </w:r>
      <w:hyperlink r:id="rId35">
        <w:r>
          <w:rPr>
            <w:rStyle w:val="Hyperlink"/>
          </w:rPr>
          <w:t>https://www.R-project.org/</w:t>
        </w:r>
      </w:hyperlink>
    </w:p>
    <w:p w14:paraId="6461D72B" w14:textId="5D6DAC82" w:rsidR="007C0C64" w:rsidRDefault="00CF6B74" w:rsidP="00CF6B74">
      <w:pPr>
        <w:pStyle w:val="Bibliography"/>
        <w:ind w:left="426" w:hanging="426"/>
        <w:jc w:val="both"/>
      </w:pPr>
      <w:bookmarkStart w:id="55" w:name="ref-rice1987"/>
      <w:bookmarkEnd w:id="54"/>
      <w:r>
        <w:t xml:space="preserve">[42] </w:t>
      </w:r>
      <w:r>
        <w:tab/>
        <w:t xml:space="preserve">S. Rice, “Towards a transitive prototype: Evidence from some atypical english passives,” Berkeley Linguistics Society; the Linguistic Society of America, Sep. 1987, pp. 422–434. doi: </w:t>
      </w:r>
      <w:hyperlink r:id="rId36">
        <w:r>
          <w:rPr>
            <w:rStyle w:val="Hyperlink"/>
          </w:rPr>
          <w:t>10.3765/bls.v13i0.1830</w:t>
        </w:r>
      </w:hyperlink>
      <w:r>
        <w:t>.</w:t>
      </w:r>
      <w:bookmarkEnd w:id="14"/>
      <w:bookmarkEnd w:id="55"/>
    </w:p>
    <w:sectPr w:rsidR="007C0C64" w:rsidSect="004A02BE">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D60EB" w14:textId="77777777" w:rsidR="004A02BE" w:rsidRDefault="004A02BE">
      <w:pPr>
        <w:spacing w:after="0"/>
      </w:pPr>
      <w:r>
        <w:separator/>
      </w:r>
    </w:p>
  </w:endnote>
  <w:endnote w:type="continuationSeparator" w:id="0">
    <w:p w14:paraId="047E64C3" w14:textId="77777777" w:rsidR="004A02BE" w:rsidRDefault="004A02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6251227"/>
      <w:docPartObj>
        <w:docPartGallery w:val="Page Numbers (Bottom of Page)"/>
        <w:docPartUnique/>
      </w:docPartObj>
    </w:sdtPr>
    <w:sdtContent>
      <w:p w14:paraId="646B47F9" w14:textId="77B9A229" w:rsidR="00963437" w:rsidRDefault="00963437" w:rsidP="00E616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E44C1A" w14:textId="77777777" w:rsidR="00963437" w:rsidRDefault="00963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6872190"/>
      <w:docPartObj>
        <w:docPartGallery w:val="Page Numbers (Bottom of Page)"/>
        <w:docPartUnique/>
      </w:docPartObj>
    </w:sdtPr>
    <w:sdtContent>
      <w:p w14:paraId="3910E82C" w14:textId="48DD1DC2" w:rsidR="00963437" w:rsidRDefault="00963437" w:rsidP="00E616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551E0F" w14:textId="77777777" w:rsidR="00963437" w:rsidRDefault="009634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69E8" w14:textId="77777777" w:rsidR="00963437" w:rsidRDefault="0096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BF433" w14:textId="77777777" w:rsidR="004A02BE" w:rsidRDefault="004A02BE">
      <w:r>
        <w:separator/>
      </w:r>
    </w:p>
  </w:footnote>
  <w:footnote w:type="continuationSeparator" w:id="0">
    <w:p w14:paraId="3B6BA7AE" w14:textId="77777777" w:rsidR="004A02BE" w:rsidRDefault="004A02BE">
      <w:r>
        <w:continuationSeparator/>
      </w:r>
    </w:p>
  </w:footnote>
  <w:footnote w:id="1">
    <w:p w14:paraId="3B551912" w14:textId="77777777" w:rsidR="009504AA" w:rsidRDefault="009504AA" w:rsidP="009504AA">
      <w:pPr>
        <w:pStyle w:val="FootnoteText"/>
      </w:pPr>
      <w:r>
        <w:rPr>
          <w:rStyle w:val="FootnoteReference"/>
        </w:rPr>
        <w:footnoteRef/>
      </w:r>
      <w:r>
        <w:t xml:space="preserve"> Penulis berterima kasih kepada I Wayan Arka dan tim peninjau atas komentar dan saran yang diberikan pada versi awal makalah ini. Segala kekurangan yang masih ditemukan merupakan tanggung jawab penulis.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85B58" w14:textId="77777777" w:rsidR="00963437" w:rsidRDefault="009634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453E6" w14:textId="77777777" w:rsidR="00963437" w:rsidRDefault="009634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58636" w14:textId="77777777" w:rsidR="00963437" w:rsidRDefault="00963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1CFB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E82D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EA0B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CA32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5EE4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A43B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45476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B88D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E474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78B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832BA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73DC19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2E8615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77747665">
    <w:abstractNumId w:val="10"/>
  </w:num>
  <w:num w:numId="2" w16cid:durableId="1610120963">
    <w:abstractNumId w:val="11"/>
  </w:num>
  <w:num w:numId="3" w16cid:durableId="1033189597">
    <w:abstractNumId w:val="0"/>
  </w:num>
  <w:num w:numId="4" w16cid:durableId="527330335">
    <w:abstractNumId w:val="1"/>
  </w:num>
  <w:num w:numId="5" w16cid:durableId="2103912684">
    <w:abstractNumId w:val="2"/>
  </w:num>
  <w:num w:numId="6" w16cid:durableId="2012560668">
    <w:abstractNumId w:val="3"/>
  </w:num>
  <w:num w:numId="7" w16cid:durableId="1651179894">
    <w:abstractNumId w:val="8"/>
  </w:num>
  <w:num w:numId="8" w16cid:durableId="3750556">
    <w:abstractNumId w:val="4"/>
  </w:num>
  <w:num w:numId="9" w16cid:durableId="1209294911">
    <w:abstractNumId w:val="5"/>
  </w:num>
  <w:num w:numId="10" w16cid:durableId="3635376">
    <w:abstractNumId w:val="6"/>
  </w:num>
  <w:num w:numId="11" w16cid:durableId="646590006">
    <w:abstractNumId w:val="7"/>
  </w:num>
  <w:num w:numId="12" w16cid:durableId="1504201121">
    <w:abstractNumId w:val="9"/>
  </w:num>
  <w:num w:numId="13" w16cid:durableId="7871107">
    <w:abstractNumId w:val="0"/>
  </w:num>
  <w:num w:numId="14" w16cid:durableId="1627858442">
    <w:abstractNumId w:val="1"/>
  </w:num>
  <w:num w:numId="15" w16cid:durableId="2124424196">
    <w:abstractNumId w:val="2"/>
  </w:num>
  <w:num w:numId="16" w16cid:durableId="1312254991">
    <w:abstractNumId w:val="3"/>
  </w:num>
  <w:num w:numId="17" w16cid:durableId="1342048378">
    <w:abstractNumId w:val="8"/>
  </w:num>
  <w:num w:numId="18" w16cid:durableId="1629818797">
    <w:abstractNumId w:val="4"/>
  </w:num>
  <w:num w:numId="19" w16cid:durableId="1568685347">
    <w:abstractNumId w:val="5"/>
  </w:num>
  <w:num w:numId="20" w16cid:durableId="1617440954">
    <w:abstractNumId w:val="6"/>
  </w:num>
  <w:num w:numId="21" w16cid:durableId="1874268458">
    <w:abstractNumId w:val="7"/>
  </w:num>
  <w:num w:numId="22" w16cid:durableId="2018457478">
    <w:abstractNumId w:val="9"/>
  </w:num>
  <w:num w:numId="23" w16cid:durableId="1842769687">
    <w:abstractNumId w:val="0"/>
  </w:num>
  <w:num w:numId="24" w16cid:durableId="659038357">
    <w:abstractNumId w:val="1"/>
  </w:num>
  <w:num w:numId="25" w16cid:durableId="1093744928">
    <w:abstractNumId w:val="2"/>
  </w:num>
  <w:num w:numId="26" w16cid:durableId="920412928">
    <w:abstractNumId w:val="3"/>
  </w:num>
  <w:num w:numId="27" w16cid:durableId="660937289">
    <w:abstractNumId w:val="8"/>
  </w:num>
  <w:num w:numId="28" w16cid:durableId="546992395">
    <w:abstractNumId w:val="4"/>
  </w:num>
  <w:num w:numId="29" w16cid:durableId="1302149182">
    <w:abstractNumId w:val="5"/>
  </w:num>
  <w:num w:numId="30" w16cid:durableId="360399888">
    <w:abstractNumId w:val="6"/>
  </w:num>
  <w:num w:numId="31" w16cid:durableId="1842239432">
    <w:abstractNumId w:val="7"/>
  </w:num>
  <w:num w:numId="32" w16cid:durableId="1693412032">
    <w:abstractNumId w:val="9"/>
  </w:num>
  <w:num w:numId="33" w16cid:durableId="768549661">
    <w:abstractNumId w:val="0"/>
  </w:num>
  <w:num w:numId="34" w16cid:durableId="353389239">
    <w:abstractNumId w:val="1"/>
  </w:num>
  <w:num w:numId="35" w16cid:durableId="22705557">
    <w:abstractNumId w:val="2"/>
  </w:num>
  <w:num w:numId="36" w16cid:durableId="8914942">
    <w:abstractNumId w:val="3"/>
  </w:num>
  <w:num w:numId="37" w16cid:durableId="1669244">
    <w:abstractNumId w:val="8"/>
  </w:num>
  <w:num w:numId="38" w16cid:durableId="876509847">
    <w:abstractNumId w:val="4"/>
  </w:num>
  <w:num w:numId="39" w16cid:durableId="138499037">
    <w:abstractNumId w:val="5"/>
  </w:num>
  <w:num w:numId="40" w16cid:durableId="373893475">
    <w:abstractNumId w:val="6"/>
  </w:num>
  <w:num w:numId="41" w16cid:durableId="36585327">
    <w:abstractNumId w:val="7"/>
  </w:num>
  <w:num w:numId="42" w16cid:durableId="1559778953">
    <w:abstractNumId w:val="9"/>
  </w:num>
  <w:num w:numId="43" w16cid:durableId="1311519312">
    <w:abstractNumId w:val="0"/>
  </w:num>
  <w:num w:numId="44" w16cid:durableId="1311210095">
    <w:abstractNumId w:val="1"/>
  </w:num>
  <w:num w:numId="45" w16cid:durableId="1272781187">
    <w:abstractNumId w:val="2"/>
  </w:num>
  <w:num w:numId="46" w16cid:durableId="1558204304">
    <w:abstractNumId w:val="3"/>
  </w:num>
  <w:num w:numId="47" w16cid:durableId="466778806">
    <w:abstractNumId w:val="8"/>
  </w:num>
  <w:num w:numId="48" w16cid:durableId="818500478">
    <w:abstractNumId w:val="4"/>
  </w:num>
  <w:num w:numId="49" w16cid:durableId="399333771">
    <w:abstractNumId w:val="5"/>
  </w:num>
  <w:num w:numId="50" w16cid:durableId="1203398238">
    <w:abstractNumId w:val="6"/>
  </w:num>
  <w:num w:numId="51" w16cid:durableId="922226008">
    <w:abstractNumId w:val="7"/>
  </w:num>
  <w:num w:numId="52" w16cid:durableId="1440904593">
    <w:abstractNumId w:val="9"/>
  </w:num>
  <w:num w:numId="53" w16cid:durableId="367220851">
    <w:abstractNumId w:val="0"/>
  </w:num>
  <w:num w:numId="54" w16cid:durableId="772476413">
    <w:abstractNumId w:val="1"/>
  </w:num>
  <w:num w:numId="55" w16cid:durableId="185948176">
    <w:abstractNumId w:val="2"/>
  </w:num>
  <w:num w:numId="56" w16cid:durableId="1900287167">
    <w:abstractNumId w:val="3"/>
  </w:num>
  <w:num w:numId="57" w16cid:durableId="1735004901">
    <w:abstractNumId w:val="8"/>
  </w:num>
  <w:num w:numId="58" w16cid:durableId="239414066">
    <w:abstractNumId w:val="4"/>
  </w:num>
  <w:num w:numId="59" w16cid:durableId="1613589700">
    <w:abstractNumId w:val="5"/>
  </w:num>
  <w:num w:numId="60" w16cid:durableId="2002929831">
    <w:abstractNumId w:val="6"/>
  </w:num>
  <w:num w:numId="61" w16cid:durableId="2057927925">
    <w:abstractNumId w:val="7"/>
  </w:num>
  <w:num w:numId="62" w16cid:durableId="1875339473">
    <w:abstractNumId w:val="9"/>
  </w:num>
  <w:num w:numId="63" w16cid:durableId="297339314">
    <w:abstractNumId w:val="0"/>
  </w:num>
  <w:num w:numId="64" w16cid:durableId="345254294">
    <w:abstractNumId w:val="1"/>
  </w:num>
  <w:num w:numId="65" w16cid:durableId="1108812166">
    <w:abstractNumId w:val="2"/>
  </w:num>
  <w:num w:numId="66" w16cid:durableId="1521898153">
    <w:abstractNumId w:val="3"/>
  </w:num>
  <w:num w:numId="67" w16cid:durableId="472136266">
    <w:abstractNumId w:val="8"/>
  </w:num>
  <w:num w:numId="68" w16cid:durableId="223489312">
    <w:abstractNumId w:val="4"/>
  </w:num>
  <w:num w:numId="69" w16cid:durableId="1344818196">
    <w:abstractNumId w:val="5"/>
  </w:num>
  <w:num w:numId="70" w16cid:durableId="1578516800">
    <w:abstractNumId w:val="6"/>
  </w:num>
  <w:num w:numId="71" w16cid:durableId="246304156">
    <w:abstractNumId w:val="7"/>
  </w:num>
  <w:num w:numId="72" w16cid:durableId="861044071">
    <w:abstractNumId w:val="9"/>
  </w:num>
  <w:num w:numId="73" w16cid:durableId="1413772300">
    <w:abstractNumId w:val="0"/>
  </w:num>
  <w:num w:numId="74" w16cid:durableId="1913855301">
    <w:abstractNumId w:val="1"/>
  </w:num>
  <w:num w:numId="75" w16cid:durableId="1240796470">
    <w:abstractNumId w:val="2"/>
  </w:num>
  <w:num w:numId="76" w16cid:durableId="1733045658">
    <w:abstractNumId w:val="3"/>
  </w:num>
  <w:num w:numId="77" w16cid:durableId="1156845019">
    <w:abstractNumId w:val="8"/>
  </w:num>
  <w:num w:numId="78" w16cid:durableId="1719475244">
    <w:abstractNumId w:val="4"/>
  </w:num>
  <w:num w:numId="79" w16cid:durableId="1085807390">
    <w:abstractNumId w:val="5"/>
  </w:num>
  <w:num w:numId="80" w16cid:durableId="1151941341">
    <w:abstractNumId w:val="6"/>
  </w:num>
  <w:num w:numId="81" w16cid:durableId="1425761767">
    <w:abstractNumId w:val="7"/>
  </w:num>
  <w:num w:numId="82" w16cid:durableId="231044434">
    <w:abstractNumId w:val="9"/>
  </w:num>
  <w:num w:numId="83" w16cid:durableId="123699041">
    <w:abstractNumId w:val="10"/>
  </w:num>
  <w:num w:numId="84" w16cid:durableId="158816196">
    <w:abstractNumId w:val="11"/>
  </w:num>
  <w:num w:numId="85" w16cid:durableId="2039309660">
    <w:abstractNumId w:val="0"/>
  </w:num>
  <w:num w:numId="86" w16cid:durableId="1193029128">
    <w:abstractNumId w:val="1"/>
  </w:num>
  <w:num w:numId="87" w16cid:durableId="806557309">
    <w:abstractNumId w:val="2"/>
  </w:num>
  <w:num w:numId="88" w16cid:durableId="457381132">
    <w:abstractNumId w:val="3"/>
  </w:num>
  <w:num w:numId="89" w16cid:durableId="901141730">
    <w:abstractNumId w:val="8"/>
  </w:num>
  <w:num w:numId="90" w16cid:durableId="1821850495">
    <w:abstractNumId w:val="4"/>
  </w:num>
  <w:num w:numId="91" w16cid:durableId="805322279">
    <w:abstractNumId w:val="5"/>
  </w:num>
  <w:num w:numId="92" w16cid:durableId="1658682452">
    <w:abstractNumId w:val="6"/>
  </w:num>
  <w:num w:numId="93" w16cid:durableId="2055695564">
    <w:abstractNumId w:val="7"/>
  </w:num>
  <w:num w:numId="94" w16cid:durableId="871070322">
    <w:abstractNumId w:val="9"/>
  </w:num>
  <w:num w:numId="95" w16cid:durableId="286550272">
    <w:abstractNumId w:val="0"/>
  </w:num>
  <w:num w:numId="96" w16cid:durableId="276639773">
    <w:abstractNumId w:val="1"/>
  </w:num>
  <w:num w:numId="97" w16cid:durableId="1524980286">
    <w:abstractNumId w:val="2"/>
  </w:num>
  <w:num w:numId="98" w16cid:durableId="591546783">
    <w:abstractNumId w:val="3"/>
  </w:num>
  <w:num w:numId="99" w16cid:durableId="962536111">
    <w:abstractNumId w:val="8"/>
  </w:num>
  <w:num w:numId="100" w16cid:durableId="110979811">
    <w:abstractNumId w:val="4"/>
  </w:num>
  <w:num w:numId="101" w16cid:durableId="841428820">
    <w:abstractNumId w:val="5"/>
  </w:num>
  <w:num w:numId="102" w16cid:durableId="966425594">
    <w:abstractNumId w:val="6"/>
  </w:num>
  <w:num w:numId="103" w16cid:durableId="1690640527">
    <w:abstractNumId w:val="7"/>
  </w:num>
  <w:num w:numId="104" w16cid:durableId="1615861858">
    <w:abstractNumId w:val="9"/>
  </w:num>
  <w:num w:numId="105" w16cid:durableId="925262183">
    <w:abstractNumId w:val="10"/>
  </w:num>
  <w:num w:numId="106" w16cid:durableId="9744111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492794949">
    <w:abstractNumId w:val="11"/>
  </w:num>
  <w:num w:numId="108" w16cid:durableId="202333629">
    <w:abstractNumId w:val="11"/>
  </w:num>
  <w:num w:numId="109" w16cid:durableId="2110083046">
    <w:abstractNumId w:val="11"/>
  </w:num>
  <w:num w:numId="110" w16cid:durableId="1055011587">
    <w:abstractNumId w:val="0"/>
  </w:num>
  <w:num w:numId="111" w16cid:durableId="1690568990">
    <w:abstractNumId w:val="1"/>
  </w:num>
  <w:num w:numId="112" w16cid:durableId="1460806501">
    <w:abstractNumId w:val="2"/>
  </w:num>
  <w:num w:numId="113" w16cid:durableId="131867345">
    <w:abstractNumId w:val="3"/>
  </w:num>
  <w:num w:numId="114" w16cid:durableId="428888899">
    <w:abstractNumId w:val="8"/>
  </w:num>
  <w:num w:numId="115" w16cid:durableId="750857965">
    <w:abstractNumId w:val="4"/>
  </w:num>
  <w:num w:numId="116" w16cid:durableId="523716635">
    <w:abstractNumId w:val="5"/>
  </w:num>
  <w:num w:numId="117" w16cid:durableId="1012151164">
    <w:abstractNumId w:val="6"/>
  </w:num>
  <w:num w:numId="118" w16cid:durableId="828642472">
    <w:abstractNumId w:val="7"/>
  </w:num>
  <w:num w:numId="119" w16cid:durableId="2083944277">
    <w:abstractNumId w:val="9"/>
  </w:num>
  <w:num w:numId="120" w16cid:durableId="1350794887">
    <w:abstractNumId w:val="0"/>
  </w:num>
  <w:num w:numId="121" w16cid:durableId="1265460960">
    <w:abstractNumId w:val="1"/>
  </w:num>
  <w:num w:numId="122" w16cid:durableId="1435635171">
    <w:abstractNumId w:val="2"/>
  </w:num>
  <w:num w:numId="123" w16cid:durableId="1667563">
    <w:abstractNumId w:val="3"/>
  </w:num>
  <w:num w:numId="124" w16cid:durableId="1465270905">
    <w:abstractNumId w:val="8"/>
  </w:num>
  <w:num w:numId="125" w16cid:durableId="60952495">
    <w:abstractNumId w:val="4"/>
  </w:num>
  <w:num w:numId="126" w16cid:durableId="1829862500">
    <w:abstractNumId w:val="5"/>
  </w:num>
  <w:num w:numId="127" w16cid:durableId="360282126">
    <w:abstractNumId w:val="6"/>
  </w:num>
  <w:num w:numId="128" w16cid:durableId="1976057155">
    <w:abstractNumId w:val="7"/>
  </w:num>
  <w:num w:numId="129" w16cid:durableId="400449159">
    <w:abstractNumId w:val="9"/>
  </w:num>
  <w:num w:numId="130" w16cid:durableId="1323461735">
    <w:abstractNumId w:val="0"/>
  </w:num>
  <w:num w:numId="131" w16cid:durableId="1765606911">
    <w:abstractNumId w:val="1"/>
  </w:num>
  <w:num w:numId="132" w16cid:durableId="438453734">
    <w:abstractNumId w:val="2"/>
  </w:num>
  <w:num w:numId="133" w16cid:durableId="1474835900">
    <w:abstractNumId w:val="3"/>
  </w:num>
  <w:num w:numId="134" w16cid:durableId="1453590675">
    <w:abstractNumId w:val="8"/>
  </w:num>
  <w:num w:numId="135" w16cid:durableId="1622688378">
    <w:abstractNumId w:val="4"/>
  </w:num>
  <w:num w:numId="136" w16cid:durableId="1714577481">
    <w:abstractNumId w:val="5"/>
  </w:num>
  <w:num w:numId="137" w16cid:durableId="759181374">
    <w:abstractNumId w:val="6"/>
  </w:num>
  <w:num w:numId="138" w16cid:durableId="1225261738">
    <w:abstractNumId w:val="7"/>
  </w:num>
  <w:num w:numId="139" w16cid:durableId="1947346175">
    <w:abstractNumId w:val="9"/>
  </w:num>
  <w:num w:numId="140" w16cid:durableId="2093774941">
    <w:abstractNumId w:val="10"/>
  </w:num>
  <w:num w:numId="141" w16cid:durableId="7922145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862937799">
    <w:abstractNumId w:val="11"/>
  </w:num>
  <w:num w:numId="143" w16cid:durableId="9529001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564483904">
    <w:abstractNumId w:val="11"/>
  </w:num>
  <w:num w:numId="145" w16cid:durableId="135028297">
    <w:abstractNumId w:val="11"/>
  </w:num>
  <w:num w:numId="146" w16cid:durableId="980765965">
    <w:abstractNumId w:val="11"/>
  </w:num>
  <w:num w:numId="147" w16cid:durableId="1330670128">
    <w:abstractNumId w:val="0"/>
  </w:num>
  <w:num w:numId="148" w16cid:durableId="1309476060">
    <w:abstractNumId w:val="1"/>
  </w:num>
  <w:num w:numId="149" w16cid:durableId="53281926">
    <w:abstractNumId w:val="2"/>
  </w:num>
  <w:num w:numId="150" w16cid:durableId="171187192">
    <w:abstractNumId w:val="3"/>
  </w:num>
  <w:num w:numId="151" w16cid:durableId="1592154504">
    <w:abstractNumId w:val="8"/>
  </w:num>
  <w:num w:numId="152" w16cid:durableId="1999766298">
    <w:abstractNumId w:val="4"/>
  </w:num>
  <w:num w:numId="153" w16cid:durableId="1036781526">
    <w:abstractNumId w:val="5"/>
  </w:num>
  <w:num w:numId="154" w16cid:durableId="1830560114">
    <w:abstractNumId w:val="6"/>
  </w:num>
  <w:num w:numId="155" w16cid:durableId="124936337">
    <w:abstractNumId w:val="7"/>
  </w:num>
  <w:num w:numId="156" w16cid:durableId="1898055388">
    <w:abstractNumId w:val="9"/>
  </w:num>
  <w:num w:numId="157" w16cid:durableId="596329057">
    <w:abstractNumId w:val="0"/>
  </w:num>
  <w:num w:numId="158" w16cid:durableId="1421290948">
    <w:abstractNumId w:val="1"/>
  </w:num>
  <w:num w:numId="159" w16cid:durableId="670182282">
    <w:abstractNumId w:val="2"/>
  </w:num>
  <w:num w:numId="160" w16cid:durableId="211624710">
    <w:abstractNumId w:val="3"/>
  </w:num>
  <w:num w:numId="161" w16cid:durableId="112554950">
    <w:abstractNumId w:val="8"/>
  </w:num>
  <w:num w:numId="162" w16cid:durableId="991064165">
    <w:abstractNumId w:val="4"/>
  </w:num>
  <w:num w:numId="163" w16cid:durableId="1047994406">
    <w:abstractNumId w:val="5"/>
  </w:num>
  <w:num w:numId="164" w16cid:durableId="683213562">
    <w:abstractNumId w:val="6"/>
  </w:num>
  <w:num w:numId="165" w16cid:durableId="1336691296">
    <w:abstractNumId w:val="7"/>
  </w:num>
  <w:num w:numId="166" w16cid:durableId="741559941">
    <w:abstractNumId w:val="9"/>
  </w:num>
  <w:num w:numId="167" w16cid:durableId="966395503">
    <w:abstractNumId w:val="0"/>
  </w:num>
  <w:num w:numId="168" w16cid:durableId="69888410">
    <w:abstractNumId w:val="1"/>
  </w:num>
  <w:num w:numId="169" w16cid:durableId="756050153">
    <w:abstractNumId w:val="2"/>
  </w:num>
  <w:num w:numId="170" w16cid:durableId="951017997">
    <w:abstractNumId w:val="3"/>
  </w:num>
  <w:num w:numId="171" w16cid:durableId="1627008837">
    <w:abstractNumId w:val="8"/>
  </w:num>
  <w:num w:numId="172" w16cid:durableId="828137197">
    <w:abstractNumId w:val="4"/>
  </w:num>
  <w:num w:numId="173" w16cid:durableId="18431203">
    <w:abstractNumId w:val="5"/>
  </w:num>
  <w:num w:numId="174" w16cid:durableId="404567372">
    <w:abstractNumId w:val="6"/>
  </w:num>
  <w:num w:numId="175" w16cid:durableId="1572500696">
    <w:abstractNumId w:val="7"/>
  </w:num>
  <w:num w:numId="176" w16cid:durableId="1504318754">
    <w:abstractNumId w:val="9"/>
  </w:num>
  <w:num w:numId="177" w16cid:durableId="536241397">
    <w:abstractNumId w:val="0"/>
  </w:num>
  <w:num w:numId="178" w16cid:durableId="1101802344">
    <w:abstractNumId w:val="1"/>
  </w:num>
  <w:num w:numId="179" w16cid:durableId="179857554">
    <w:abstractNumId w:val="2"/>
  </w:num>
  <w:num w:numId="180" w16cid:durableId="392124651">
    <w:abstractNumId w:val="3"/>
  </w:num>
  <w:num w:numId="181" w16cid:durableId="73629161">
    <w:abstractNumId w:val="8"/>
  </w:num>
  <w:num w:numId="182" w16cid:durableId="1755858622">
    <w:abstractNumId w:val="4"/>
  </w:num>
  <w:num w:numId="183" w16cid:durableId="395053545">
    <w:abstractNumId w:val="5"/>
  </w:num>
  <w:num w:numId="184" w16cid:durableId="2020355032">
    <w:abstractNumId w:val="6"/>
  </w:num>
  <w:num w:numId="185" w16cid:durableId="784887929">
    <w:abstractNumId w:val="7"/>
  </w:num>
  <w:num w:numId="186" w16cid:durableId="527793687">
    <w:abstractNumId w:val="9"/>
  </w:num>
  <w:num w:numId="187" w16cid:durableId="370883202">
    <w:abstractNumId w:val="0"/>
  </w:num>
  <w:num w:numId="188" w16cid:durableId="517735740">
    <w:abstractNumId w:val="1"/>
  </w:num>
  <w:num w:numId="189" w16cid:durableId="1586576091">
    <w:abstractNumId w:val="2"/>
  </w:num>
  <w:num w:numId="190" w16cid:durableId="1699622775">
    <w:abstractNumId w:val="3"/>
  </w:num>
  <w:num w:numId="191" w16cid:durableId="665746924">
    <w:abstractNumId w:val="8"/>
  </w:num>
  <w:num w:numId="192" w16cid:durableId="44566345">
    <w:abstractNumId w:val="4"/>
  </w:num>
  <w:num w:numId="193" w16cid:durableId="844200798">
    <w:abstractNumId w:val="5"/>
  </w:num>
  <w:num w:numId="194" w16cid:durableId="1541894364">
    <w:abstractNumId w:val="6"/>
  </w:num>
  <w:num w:numId="195" w16cid:durableId="423301094">
    <w:abstractNumId w:val="7"/>
  </w:num>
  <w:num w:numId="196" w16cid:durableId="1100637368">
    <w:abstractNumId w:val="9"/>
  </w:num>
  <w:num w:numId="197" w16cid:durableId="1154221384">
    <w:abstractNumId w:val="0"/>
  </w:num>
  <w:num w:numId="198" w16cid:durableId="969166185">
    <w:abstractNumId w:val="1"/>
  </w:num>
  <w:num w:numId="199" w16cid:durableId="1158107827">
    <w:abstractNumId w:val="2"/>
  </w:num>
  <w:num w:numId="200" w16cid:durableId="696732125">
    <w:abstractNumId w:val="3"/>
  </w:num>
  <w:num w:numId="201" w16cid:durableId="966357665">
    <w:abstractNumId w:val="8"/>
  </w:num>
  <w:num w:numId="202" w16cid:durableId="213585577">
    <w:abstractNumId w:val="4"/>
  </w:num>
  <w:num w:numId="203" w16cid:durableId="555432898">
    <w:abstractNumId w:val="5"/>
  </w:num>
  <w:num w:numId="204" w16cid:durableId="193008856">
    <w:abstractNumId w:val="6"/>
  </w:num>
  <w:num w:numId="205" w16cid:durableId="787047353">
    <w:abstractNumId w:val="7"/>
  </w:num>
  <w:num w:numId="206" w16cid:durableId="1690570701">
    <w:abstractNumId w:val="9"/>
  </w:num>
  <w:num w:numId="207" w16cid:durableId="549610109">
    <w:abstractNumId w:val="0"/>
  </w:num>
  <w:num w:numId="208" w16cid:durableId="321661584">
    <w:abstractNumId w:val="1"/>
  </w:num>
  <w:num w:numId="209" w16cid:durableId="95911433">
    <w:abstractNumId w:val="2"/>
  </w:num>
  <w:num w:numId="210" w16cid:durableId="1400521505">
    <w:abstractNumId w:val="3"/>
  </w:num>
  <w:num w:numId="211" w16cid:durableId="1434208973">
    <w:abstractNumId w:val="8"/>
  </w:num>
  <w:num w:numId="212" w16cid:durableId="195047630">
    <w:abstractNumId w:val="4"/>
  </w:num>
  <w:num w:numId="213" w16cid:durableId="425657762">
    <w:abstractNumId w:val="5"/>
  </w:num>
  <w:num w:numId="214" w16cid:durableId="2015374332">
    <w:abstractNumId w:val="6"/>
  </w:num>
  <w:num w:numId="215" w16cid:durableId="356128501">
    <w:abstractNumId w:val="7"/>
  </w:num>
  <w:num w:numId="216" w16cid:durableId="1528177513">
    <w:abstractNumId w:val="9"/>
  </w:num>
  <w:num w:numId="217" w16cid:durableId="503710491">
    <w:abstractNumId w:val="0"/>
  </w:num>
  <w:num w:numId="218" w16cid:durableId="1728068016">
    <w:abstractNumId w:val="1"/>
  </w:num>
  <w:num w:numId="219" w16cid:durableId="1390306806">
    <w:abstractNumId w:val="2"/>
  </w:num>
  <w:num w:numId="220" w16cid:durableId="69469499">
    <w:abstractNumId w:val="3"/>
  </w:num>
  <w:num w:numId="221" w16cid:durableId="71976158">
    <w:abstractNumId w:val="8"/>
  </w:num>
  <w:num w:numId="222" w16cid:durableId="2143502637">
    <w:abstractNumId w:val="4"/>
  </w:num>
  <w:num w:numId="223" w16cid:durableId="1152256861">
    <w:abstractNumId w:val="5"/>
  </w:num>
  <w:num w:numId="224" w16cid:durableId="330261936">
    <w:abstractNumId w:val="6"/>
  </w:num>
  <w:num w:numId="225" w16cid:durableId="1143504386">
    <w:abstractNumId w:val="7"/>
  </w:num>
  <w:num w:numId="226" w16cid:durableId="1268734534">
    <w:abstractNumId w:val="9"/>
  </w:num>
  <w:num w:numId="227" w16cid:durableId="995300944">
    <w:abstractNumId w:val="0"/>
  </w:num>
  <w:num w:numId="228" w16cid:durableId="1862470553">
    <w:abstractNumId w:val="1"/>
  </w:num>
  <w:num w:numId="229" w16cid:durableId="186917112">
    <w:abstractNumId w:val="2"/>
  </w:num>
  <w:num w:numId="230" w16cid:durableId="890505569">
    <w:abstractNumId w:val="3"/>
  </w:num>
  <w:num w:numId="231" w16cid:durableId="69082440">
    <w:abstractNumId w:val="8"/>
  </w:num>
  <w:num w:numId="232" w16cid:durableId="2064720009">
    <w:abstractNumId w:val="4"/>
  </w:num>
  <w:num w:numId="233" w16cid:durableId="1205211260">
    <w:abstractNumId w:val="5"/>
  </w:num>
  <w:num w:numId="234" w16cid:durableId="48380977">
    <w:abstractNumId w:val="6"/>
  </w:num>
  <w:num w:numId="235" w16cid:durableId="1672026618">
    <w:abstractNumId w:val="7"/>
  </w:num>
  <w:num w:numId="236" w16cid:durableId="421100343">
    <w:abstractNumId w:val="9"/>
  </w:num>
  <w:num w:numId="237" w16cid:durableId="1591618347">
    <w:abstractNumId w:val="0"/>
  </w:num>
  <w:num w:numId="238" w16cid:durableId="118576868">
    <w:abstractNumId w:val="1"/>
  </w:num>
  <w:num w:numId="239" w16cid:durableId="1863742018">
    <w:abstractNumId w:val="2"/>
  </w:num>
  <w:num w:numId="240" w16cid:durableId="898521000">
    <w:abstractNumId w:val="3"/>
  </w:num>
  <w:num w:numId="241" w16cid:durableId="314603989">
    <w:abstractNumId w:val="8"/>
  </w:num>
  <w:num w:numId="242" w16cid:durableId="53309792">
    <w:abstractNumId w:val="4"/>
  </w:num>
  <w:num w:numId="243" w16cid:durableId="1020277576">
    <w:abstractNumId w:val="5"/>
  </w:num>
  <w:num w:numId="244" w16cid:durableId="1794714786">
    <w:abstractNumId w:val="6"/>
  </w:num>
  <w:num w:numId="245" w16cid:durableId="492569215">
    <w:abstractNumId w:val="7"/>
  </w:num>
  <w:num w:numId="246" w16cid:durableId="115637639">
    <w:abstractNumId w:val="9"/>
  </w:num>
  <w:num w:numId="247" w16cid:durableId="1096514093">
    <w:abstractNumId w:val="0"/>
  </w:num>
  <w:num w:numId="248" w16cid:durableId="527258375">
    <w:abstractNumId w:val="1"/>
  </w:num>
  <w:num w:numId="249" w16cid:durableId="103623681">
    <w:abstractNumId w:val="2"/>
  </w:num>
  <w:num w:numId="250" w16cid:durableId="1703170890">
    <w:abstractNumId w:val="3"/>
  </w:num>
  <w:num w:numId="251" w16cid:durableId="220363841">
    <w:abstractNumId w:val="8"/>
  </w:num>
  <w:num w:numId="252" w16cid:durableId="1211646673">
    <w:abstractNumId w:val="4"/>
  </w:num>
  <w:num w:numId="253" w16cid:durableId="1828323428">
    <w:abstractNumId w:val="5"/>
  </w:num>
  <w:num w:numId="254" w16cid:durableId="1908146709">
    <w:abstractNumId w:val="6"/>
  </w:num>
  <w:num w:numId="255" w16cid:durableId="2030597260">
    <w:abstractNumId w:val="7"/>
  </w:num>
  <w:num w:numId="256" w16cid:durableId="17557397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00F4"/>
    <w:rsid w:val="00055517"/>
    <w:rsid w:val="000676D2"/>
    <w:rsid w:val="0008642D"/>
    <w:rsid w:val="000A3992"/>
    <w:rsid w:val="000B7F1E"/>
    <w:rsid w:val="001779B3"/>
    <w:rsid w:val="001E5127"/>
    <w:rsid w:val="002575EC"/>
    <w:rsid w:val="0026103E"/>
    <w:rsid w:val="00297823"/>
    <w:rsid w:val="00417AD3"/>
    <w:rsid w:val="00451459"/>
    <w:rsid w:val="00467163"/>
    <w:rsid w:val="00490466"/>
    <w:rsid w:val="004A02BE"/>
    <w:rsid w:val="004A7141"/>
    <w:rsid w:val="004E15B9"/>
    <w:rsid w:val="006B6BA9"/>
    <w:rsid w:val="007200F4"/>
    <w:rsid w:val="007902DF"/>
    <w:rsid w:val="007C0C64"/>
    <w:rsid w:val="009504AA"/>
    <w:rsid w:val="00963437"/>
    <w:rsid w:val="00A65918"/>
    <w:rsid w:val="00B22C93"/>
    <w:rsid w:val="00B8405D"/>
    <w:rsid w:val="00B86DCD"/>
    <w:rsid w:val="00C51CDB"/>
    <w:rsid w:val="00CF6B74"/>
    <w:rsid w:val="00D85EEE"/>
    <w:rsid w:val="00DE4A6B"/>
    <w:rsid w:val="00FC369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9245B"/>
  <w15:docId w15:val="{71B9224E-D826-C942-952A-99C7439B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76D2"/>
    <w:pPr>
      <w:spacing w:before="200"/>
      <w:contextualSpacing/>
    </w:pPr>
    <w:rPr>
      <w:rFonts w:ascii="Times New Roman" w:hAnsi="Times New Roman"/>
      <w:sz w:val="22"/>
    </w:rPr>
  </w:style>
  <w:style w:type="paragraph" w:styleId="Heading1">
    <w:name w:val="heading 1"/>
    <w:basedOn w:val="Normal"/>
    <w:next w:val="BodyText"/>
    <w:uiPriority w:val="9"/>
    <w:qFormat/>
    <w:rsid w:val="00A65918"/>
    <w:pPr>
      <w:keepNext/>
      <w:keepLines/>
      <w:spacing w:before="12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467163"/>
    <w:pPr>
      <w:keepNext/>
      <w:keepLines/>
      <w:spacing w:after="0"/>
      <w:outlineLvl w:val="1"/>
    </w:pPr>
    <w:rPr>
      <w:rFonts w:eastAsiaTheme="majorEastAsia" w:cstheme="majorBidi"/>
      <w:b/>
      <w:bCs/>
      <w:color w:val="000000" w:themeColor="text1"/>
      <w:szCs w:val="28"/>
    </w:rPr>
  </w:style>
  <w:style w:type="paragraph" w:styleId="Heading3">
    <w:name w:val="heading 3"/>
    <w:basedOn w:val="Normal"/>
    <w:next w:val="BodyText"/>
    <w:uiPriority w:val="9"/>
    <w:unhideWhenUsed/>
    <w:qFormat/>
    <w:rsid w:val="00467163"/>
    <w:pPr>
      <w:keepNext/>
      <w:keepLines/>
      <w:spacing w:after="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pPr>
      <w:keepNext/>
      <w:keepLines/>
      <w:spacing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676D2"/>
    <w:pPr>
      <w:spacing w:before="0" w:after="180"/>
      <w:ind w:firstLine="567"/>
      <w:jc w:val="both"/>
    </w:pPr>
  </w:style>
  <w:style w:type="paragraph" w:customStyle="1" w:styleId="FirstParagraph">
    <w:name w:val="First Paragraph"/>
    <w:basedOn w:val="BodyText"/>
    <w:next w:val="BodyText"/>
    <w:qFormat/>
    <w:rsid w:val="000676D2"/>
    <w:pPr>
      <w:spacing w:before="120" w:after="0"/>
      <w:ind w:firstLine="0"/>
    </w:pPr>
  </w:style>
  <w:style w:type="paragraph" w:customStyle="1" w:styleId="Compact">
    <w:name w:val="Compact"/>
    <w:basedOn w:val="BodyText"/>
    <w:qFormat/>
    <w:rsid w:val="006B6BA9"/>
    <w:pPr>
      <w:spacing w:before="36" w:after="36"/>
      <w:ind w:firstLine="0"/>
    </w:pPr>
  </w:style>
  <w:style w:type="paragraph" w:styleId="Title">
    <w:name w:val="Title"/>
    <w:basedOn w:val="Normal"/>
    <w:next w:val="BodyText"/>
    <w:qFormat/>
    <w:rsid w:val="005552D6"/>
    <w:pPr>
      <w:keepNext/>
      <w:keepLines/>
      <w:spacing w:before="480" w:after="240"/>
      <w:jc w:val="center"/>
    </w:pPr>
    <w:rPr>
      <w:rFonts w:eastAsiaTheme="majorEastAsia"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467163"/>
    <w:pPr>
      <w:keepNext/>
      <w:keepLines/>
      <w:spacing w:before="300" w:after="300"/>
    </w:pPr>
    <w:rPr>
      <w:sz w:val="20"/>
      <w:szCs w:val="20"/>
    </w:rPr>
  </w:style>
  <w:style w:type="paragraph" w:styleId="Bibliography">
    <w:name w:val="Bibliography"/>
    <w:basedOn w:val="Normal"/>
    <w:qFormat/>
    <w:rsid w:val="0008642D"/>
    <w:pPr>
      <w:spacing w:after="0"/>
      <w:ind w:left="567" w:hanging="567"/>
    </w:pPr>
    <w:rPr>
      <w:sz w:val="21"/>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9504AA"/>
    <w:pPr>
      <w:ind w:left="340" w:hanging="340"/>
    </w:pPr>
    <w:rPr>
      <w:sz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B6BA9"/>
    <w:pPr>
      <w:keepNext/>
      <w:spacing w:before="240"/>
    </w:pPr>
    <w:rPr>
      <w:i w:val="0"/>
      <w:sz w:val="21"/>
    </w:rPr>
  </w:style>
  <w:style w:type="paragraph" w:customStyle="1" w:styleId="ImageCaption">
    <w:name w:val="Image Caption"/>
    <w:basedOn w:val="Caption"/>
    <w:next w:val="FirstParagraph"/>
    <w:rsid w:val="00D85EEE"/>
    <w:rPr>
      <w:i w:val="0"/>
      <w:sz w:val="21"/>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0676D2"/>
    <w:rPr>
      <w:rFonts w:ascii="Times New Roman" w:hAnsi="Times New Roman"/>
      <w:sz w:val="22"/>
    </w:rPr>
  </w:style>
  <w:style w:type="paragraph" w:styleId="Header">
    <w:name w:val="header"/>
    <w:basedOn w:val="Normal"/>
    <w:link w:val="HeaderChar"/>
    <w:rsid w:val="00963437"/>
    <w:pPr>
      <w:tabs>
        <w:tab w:val="center" w:pos="4680"/>
        <w:tab w:val="right" w:pos="9360"/>
      </w:tabs>
      <w:spacing w:after="0"/>
    </w:pPr>
  </w:style>
  <w:style w:type="character" w:customStyle="1" w:styleId="HeaderChar">
    <w:name w:val="Header Char"/>
    <w:basedOn w:val="DefaultParagraphFont"/>
    <w:link w:val="Header"/>
    <w:rsid w:val="00963437"/>
    <w:rPr>
      <w:rFonts w:ascii="Times New Roman" w:hAnsi="Times New Roman"/>
    </w:rPr>
  </w:style>
  <w:style w:type="paragraph" w:styleId="Footer">
    <w:name w:val="footer"/>
    <w:basedOn w:val="Normal"/>
    <w:link w:val="FooterChar"/>
    <w:rsid w:val="00963437"/>
    <w:pPr>
      <w:tabs>
        <w:tab w:val="center" w:pos="4680"/>
        <w:tab w:val="right" w:pos="9360"/>
      </w:tabs>
      <w:spacing w:after="0"/>
    </w:pPr>
  </w:style>
  <w:style w:type="character" w:customStyle="1" w:styleId="FooterChar">
    <w:name w:val="Footer Char"/>
    <w:basedOn w:val="DefaultParagraphFont"/>
    <w:link w:val="Footer"/>
    <w:rsid w:val="00963437"/>
    <w:rPr>
      <w:rFonts w:ascii="Times New Roman" w:hAnsi="Times New Roman"/>
    </w:rPr>
  </w:style>
  <w:style w:type="character" w:styleId="PageNumber">
    <w:name w:val="page number"/>
    <w:basedOn w:val="DefaultParagraphFont"/>
    <w:rsid w:val="00963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15/9781614518716" TargetMode="External"/><Relationship Id="rId18" Type="http://schemas.openxmlformats.org/officeDocument/2006/relationships/hyperlink" Target="https://doi.org/10.1016/j.lingua.2007.08.008" TargetMode="External"/><Relationship Id="rId26" Type="http://schemas.openxmlformats.org/officeDocument/2006/relationships/hyperlink" Target="https://doi.org/10.1093/acprof:oso/9780199604326.003.0007" TargetMode="External"/><Relationship Id="rId39" Type="http://schemas.openxmlformats.org/officeDocument/2006/relationships/footer" Target="footer1.xml"/><Relationship Id="rId21" Type="http://schemas.openxmlformats.org/officeDocument/2006/relationships/hyperlink" Target="http://lrec-conf.org/workshops/lrec2018/W29/pdf/8_W29.pdf" TargetMode="External"/><Relationship Id="rId34" Type="http://schemas.openxmlformats.org/officeDocument/2006/relationships/hyperlink" Target="https://www.sfla.ch" TargetMode="External"/><Relationship Id="rId42"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515/stuf-2022-1047" TargetMode="External"/><Relationship Id="rId20" Type="http://schemas.openxmlformats.org/officeDocument/2006/relationships/hyperlink" Target="https://doi.org/10.1007/978-3-642-23138-4_8" TargetMode="External"/><Relationship Id="rId29" Type="http://schemas.openxmlformats.org/officeDocument/2006/relationships/hyperlink" Target="https://doi.org/10.4225/03/5a0627de02453"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0473/mozaik.v20i1.15128" TargetMode="External"/><Relationship Id="rId24" Type="http://schemas.openxmlformats.org/officeDocument/2006/relationships/hyperlink" Target="https://doi.org/10.6084/m9.figshare.13602155" TargetMode="External"/><Relationship Id="rId32" Type="http://schemas.openxmlformats.org/officeDocument/2006/relationships/hyperlink" Target="https://doi.org/10.1515/9783110363708-005"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1515/lingvan-2020-0104" TargetMode="External"/><Relationship Id="rId23" Type="http://schemas.openxmlformats.org/officeDocument/2006/relationships/hyperlink" Target="https://doi.org/10.26499/li.v36i1.71" TargetMode="External"/><Relationship Id="rId28" Type="http://schemas.openxmlformats.org/officeDocument/2006/relationships/hyperlink" Target="http://sealang.net/sala/archives/pdf4/shibatani2007middle.pdf" TargetMode="External"/><Relationship Id="rId36" Type="http://schemas.openxmlformats.org/officeDocument/2006/relationships/hyperlink" Target="https://doi.org/10.3765/bls.v13i0.1830" TargetMode="External"/><Relationship Id="rId10" Type="http://schemas.openxmlformats.org/officeDocument/2006/relationships/hyperlink" Target="https://doi.org/10.1017/9781316671399" TargetMode="External"/><Relationship Id="rId19" Type="http://schemas.openxmlformats.org/officeDocument/2006/relationships/hyperlink" Target="https://doi.org/10.1007/s11049-022-09542-5" TargetMode="External"/><Relationship Id="rId31" Type="http://schemas.openxmlformats.org/officeDocument/2006/relationships/hyperlink" Target="https://doi.org/10.1093/oxfordhb/9780195396683.013.000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6084/m9.figshare.12423788" TargetMode="External"/><Relationship Id="rId22" Type="http://schemas.openxmlformats.org/officeDocument/2006/relationships/hyperlink" Target="https://doi.org/10.5281/zenodo.7947606" TargetMode="External"/><Relationship Id="rId27" Type="http://schemas.openxmlformats.org/officeDocument/2006/relationships/hyperlink" Target="https://doi.org/10.2307/414491" TargetMode="External"/><Relationship Id="rId30" Type="http://schemas.openxmlformats.org/officeDocument/2006/relationships/hyperlink" Target="https://doi.org/10.1093/oxfordhb/9780195396683.013.0016" TargetMode="External"/><Relationship Id="rId35" Type="http://schemas.openxmlformats.org/officeDocument/2006/relationships/hyperlink" Target="https://www.R-project.org/"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repositori.kemdikbud.go.id/16351/" TargetMode="External"/><Relationship Id="rId17" Type="http://schemas.openxmlformats.org/officeDocument/2006/relationships/hyperlink" Target="https://doi.org/10.6084/m9.figshare.22336729" TargetMode="External"/><Relationship Id="rId25" Type="http://schemas.openxmlformats.org/officeDocument/2006/relationships/hyperlink" Target="https://doi.org/10.31227/osf.io/uwzts" TargetMode="External"/><Relationship Id="rId33" Type="http://schemas.openxmlformats.org/officeDocument/2006/relationships/hyperlink" Target="https://doi.org/10.26499/li.v37i1.87"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Diatesis dalam bahasa Indonesia</vt:lpstr>
    </vt:vector>
  </TitlesOfParts>
  <Company>Universitas Udayana</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Diatesis dalam bahasa Indonesia</dc:title>
  <dc:creator>Gede Rajeg</dc:creator>
  <cp:keywords/>
  <cp:lastModifiedBy>Gede Rajeg</cp:lastModifiedBy>
  <cp:revision>18</cp:revision>
  <dcterms:created xsi:type="dcterms:W3CDTF">2023-07-12T06:17:00Z</dcterms:created>
  <dcterms:modified xsi:type="dcterms:W3CDTF">2024-01-21T03:18:00Z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Ini adalah abstrak</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rossref">
    <vt:lpwstr/>
  </property>
  <property fmtid="{D5CDD505-2E9C-101B-9397-08002B2CF9AE}" pid="8" name="csl">
    <vt:lpwstr>ieee.csl</vt:lpwstr>
  </property>
  <property fmtid="{D5CDD505-2E9C-101B-9397-08002B2CF9AE}" pid="9" name="editor">
    <vt:lpwstr>visual</vt:lpwstr>
  </property>
  <property fmtid="{D5CDD505-2E9C-101B-9397-08002B2CF9AE}" pid="10" name="fig-asp">
    <vt:lpwstr>0.618</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toc-title">
    <vt:lpwstr>Table of contents</vt:lpwstr>
  </property>
</Properties>
</file>