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exact"/>
      </w:pPr>
      <w:r>
        <w:rPr>
          <w:rFonts w:ascii="Century Gothic" w:hAnsi="Century Gothic"/>
          <w:b w:val="0"/>
          <w:i w:val="0"/>
          <w:sz w:val="20"/>
        </w:rPr>
        <w:t>Montréal, le 5 juin 2026</w:t>
      </w:r>
    </w:p>
    <w:p>
      <w:pPr>
        <w:spacing w:before="0" w:after="0" w:line="240" w:lineRule="exact"/>
      </w:pPr>
      <w:r>
        <w:rPr>
          <w:rFonts w:ascii="Century Gothic" w:hAnsi="Century Gothic"/>
          <w:b w:val="0"/>
          <w:i w:val="0"/>
          <w:sz w:val="20"/>
        </w:rPr>
        <w:t>À l’attention du comité de sélection</w:t>
      </w:r>
    </w:p>
    <w:p>
      <w:pPr>
        <w:spacing w:before="0" w:after="100" w:line="240" w:lineRule="exact"/>
      </w:pPr>
      <w:r>
        <w:rPr>
          <w:rFonts w:ascii="Century Gothic" w:hAnsi="Century Gothic"/>
          <w:b/>
          <w:i w:val="0"/>
          <w:sz w:val="20"/>
        </w:rPr>
        <w:t>Financement postdoc-entrepreneur(e) IVADO</w:t>
      </w:r>
    </w:p>
    <w:p>
      <w:pPr>
        <w:spacing w:before="0" w:after="80" w:line="240" w:lineRule="exact"/>
      </w:pPr>
      <w:r>
        <w:rPr>
          <w:rFonts w:ascii="Century Gothic" w:hAnsi="Century Gothic"/>
          <w:b/>
          <w:i w:val="0"/>
          <w:sz w:val="20"/>
        </w:rPr>
        <w:t>Objet : Candidature au financement postdoc-entrepreneur(e) IVADO — Georges Parfait Djimefo Kapen</w:t>
      </w:r>
    </w:p>
    <w:p>
      <w:pPr>
        <w:spacing w:before="0" w:after="80" w:line="240" w:lineRule="exact"/>
      </w:pPr>
      <w:r>
        <w:rPr>
          <w:rFonts w:ascii="Century Gothic" w:hAnsi="Century Gothic"/>
          <w:b w:val="0"/>
          <w:i w:val="0"/>
          <w:sz w:val="20"/>
        </w:rPr>
        <w:t>Madame, Monsieur,</w:t>
      </w:r>
    </w:p>
    <w:p>
      <w:pPr>
        <w:spacing w:before="0" w:after="40" w:line="240" w:lineRule="exact"/>
      </w:pPr>
      <w:r>
        <w:rPr>
          <w:rFonts w:ascii="Century Gothic" w:hAnsi="Century Gothic"/>
          <w:b/>
          <w:i w:val="0"/>
          <w:sz w:val="20"/>
        </w:rPr>
        <w:t>1. Présentation du produit et plan de travail</w:t>
      </w:r>
    </w:p>
    <w:p>
      <w:pPr>
        <w:spacing w:before="0" w:after="60" w:line="240" w:lineRule="exact"/>
      </w:pPr>
      <w:r>
        <w:rPr>
          <w:rFonts w:ascii="Century Gothic" w:hAnsi="Century Gothic"/>
          <w:b w:val="0"/>
          <w:i w:val="0"/>
          <w:sz w:val="20"/>
        </w:rPr>
        <w:t>Je propose le développement du GreenRoute SDK, un kit de développement logiciel embarqué commercialisable qui consolide en une seule librairie les trois contributions originales de ma thèse de doctorat : GAPF, CALASH et CASTER-ZT. Ce SDK permet de déployer, sur un microcontrôleur ARM Cortex-M7 standard sans modification matérielle, un protocole de routage intelligent, conscient du carbone du cycle de vie (LCI) et à sécurité zéro-confiance, pour les réseaux de capteurs sans fil (WSN) de surveillance des catastrophes intégrés aux infrastructures 6G.</w:t>
      </w:r>
    </w:p>
    <w:p>
      <w:pPr>
        <w:spacing w:before="0" w:after="60" w:line="240" w:lineRule="exact"/>
      </w:pPr>
      <w:r>
        <w:rPr>
          <w:rFonts w:ascii="Century Gothic" w:hAnsi="Century Gothic"/>
          <w:b w:val="0"/>
          <w:i w:val="0"/>
          <w:sz w:val="20"/>
        </w:rPr>
        <w:t>L’empreinte totale du SDK est inférieure à 103 KB (déployable sur Cortex-M7) — le méta-contrôleur GAPF étant 26× plus compact qu’un agent expert seul (1 473 vs 38 983 paramètres), tout en atteignant un taux de livraison de paquets de 98–99 % (GAPF), une réduction de 33 % de l’intensité carbone du cycle de vie conforme ISO 14040 (CALASH), et 0 % de faux positifs sur 2 420 exécutions dans le budget de latence de 10 ms du near-RT RIC O-RAN (CASTER-ZT).</w:t>
      </w:r>
    </w:p>
    <w:p>
      <w:pPr>
        <w:spacing w:before="0" w:after="20" w:line="240" w:lineRule="exact"/>
      </w:pPr>
      <w:r>
        <w:rPr>
          <w:rFonts w:ascii="Century Gothic" w:hAnsi="Century Gothic"/>
          <w:b/>
          <w:i w:val="0"/>
          <w:sz w:val="20"/>
        </w:rPr>
        <w:t>Plan de travail sur 18 mois :</w:t>
      </w:r>
    </w:p>
    <w:p>
      <w:pPr>
        <w:spacing w:before="20" w:after="40" w:line="240" w:lineRule="exact"/>
        <w:ind w:left="283"/>
      </w:pPr>
      <w:r>
        <w:rPr>
          <w:rFonts w:ascii="Century Gothic" w:hAnsi="Century Gothic"/>
          <w:b/>
          <w:i w:val="0"/>
          <w:sz w:val="20"/>
        </w:rPr>
        <w:t xml:space="preserve">Phase 1 — Mois 1–6 : Développement et portage du SDK. </w:t>
      </w:r>
      <w:r>
        <w:rPr>
          <w:rFonts w:ascii="Century Gothic" w:hAnsi="Century Gothic"/>
          <w:b w:val="0"/>
          <w:i w:val="0"/>
          <w:sz w:val="20"/>
        </w:rPr>
        <w:t>Extraction et refactorisation de la pile GAPF–CALASH–CASTER-ZT en modules C99 autonomes avec API documentée (Doxygen). Portage validé sur STM32H7, ESP32-S3 et Raspberry Pi Zero 2W. Mise en place du pipeline CI/CD et de la suite de tests d’intégration.</w:t>
      </w:r>
    </w:p>
    <w:p>
      <w:pPr>
        <w:spacing w:before="20" w:after="40" w:line="240" w:lineRule="exact"/>
        <w:ind w:left="283"/>
      </w:pPr>
      <w:r>
        <w:rPr>
          <w:rFonts w:ascii="Century Gothic" w:hAnsi="Century Gothic"/>
          <w:b/>
          <w:i w:val="0"/>
          <w:sz w:val="20"/>
        </w:rPr>
        <w:t xml:space="preserve">Phase 2 — Mois 7–12 : Prototypage client et entrepreneuriat. </w:t>
      </w:r>
      <w:r>
        <w:rPr>
          <w:rFonts w:ascii="Century Gothic" w:hAnsi="Century Gothic"/>
          <w:b w:val="0"/>
          <w:i w:val="0"/>
          <w:sz w:val="20"/>
        </w:rPr>
        <w:t>Déploiement d’un prototype fonctionnel chez deux partenaires de validation (agences de gestion de crise municipales, opérateurs d’infrastructure critique). Participation aux formations entrepreneuriales (NextAI ou i2I). Dépôt d’une demande de brevet provisoire. Entretiens de découverte client avec ≥ 10 organisations cibles.</w:t>
      </w:r>
    </w:p>
    <w:p>
      <w:pPr>
        <w:spacing w:before="20" w:after="40" w:line="240" w:lineRule="exact"/>
        <w:ind w:left="283"/>
      </w:pPr>
      <w:r>
        <w:rPr>
          <w:rFonts w:ascii="Century Gothic" w:hAnsi="Century Gothic"/>
          <w:b/>
          <w:i w:val="0"/>
          <w:sz w:val="20"/>
        </w:rPr>
        <w:t xml:space="preserve">Phase 3 — Mois 13–18 : Commercialisation et démarrage. </w:t>
      </w:r>
      <w:r>
        <w:rPr>
          <w:rFonts w:ascii="Century Gothic" w:hAnsi="Century Gothic"/>
          <w:b w:val="0"/>
          <w:i w:val="0"/>
          <w:sz w:val="20"/>
        </w:rPr>
        <w:t>Intégration du retour terrain dans le SDK (v1.0). Modèle de licence SaaS/OEM défini. Constitution de la société (Québec Inc.). Préparation du dossier de financement pré-amorçage (CDPQ, Anges Québec). Présentation au réseau IVADO.</w:t>
      </w:r>
    </w:p>
    <w:p>
      <w:pPr>
        <w:spacing w:before="80" w:after="40" w:line="240" w:lineRule="exact"/>
      </w:pPr>
      <w:r>
        <w:rPr>
          <w:rFonts w:ascii="Century Gothic" w:hAnsi="Century Gothic"/>
          <w:b/>
          <w:i w:val="0"/>
          <w:sz w:val="20"/>
        </w:rPr>
        <w:t>2. Alignement avec les objectifs IAR3 d’IVADO</w:t>
      </w:r>
    </w:p>
    <w:p>
      <w:pPr>
        <w:spacing w:before="20" w:after="40" w:line="240" w:lineRule="exact"/>
        <w:ind w:left="283"/>
      </w:pPr>
      <w:r>
        <w:rPr>
          <w:rFonts w:ascii="Century Gothic" w:hAnsi="Century Gothic"/>
          <w:b/>
          <w:i w:val="0"/>
          <w:sz w:val="20"/>
        </w:rPr>
        <w:t xml:space="preserve">IA robuste. </w:t>
      </w:r>
      <w:r>
        <w:rPr>
          <w:rFonts w:ascii="Century Gothic" w:hAnsi="Century Gothic"/>
          <w:b w:val="0"/>
          <w:i w:val="0"/>
          <w:sz w:val="20"/>
        </w:rPr>
        <w:t>GAPF généralise à ≥98 % de taux de livraison sur 7 scénarios (20 à 100 nœuds, r = 25–50 m) sans ré-entraînement par scénario, grâce à 1 473 paramètres entraînables déployables sur microcontrôleur contraint. La convergence de CALASH est garantie formellement par l’optimisation de Lyapunov (CARE, budget carbone prouvable). CASTER-ZT a été validé sur 2 420 exécutions avec 0 % de faux positifs.</w:t>
      </w:r>
    </w:p>
    <w:p>
      <w:pPr>
        <w:spacing w:before="20" w:after="40" w:line="240" w:lineRule="exact"/>
        <w:ind w:left="283"/>
      </w:pPr>
      <w:r>
        <w:rPr>
          <w:rFonts w:ascii="Century Gothic" w:hAnsi="Century Gothic"/>
          <w:b/>
          <w:i w:val="0"/>
          <w:sz w:val="20"/>
        </w:rPr>
        <w:t xml:space="preserve">IA raisonnante. </w:t>
      </w:r>
      <w:r>
        <w:rPr>
          <w:rFonts w:ascii="Century Gothic" w:hAnsi="Century Gothic"/>
          <w:b w:val="0"/>
          <w:i w:val="0"/>
          <w:sz w:val="20"/>
        </w:rPr>
        <w:t>L’encodeur GNN de GAPF produit des représentations de graphe interprétables : chaque décision de routage est traçable à une structure topologique explicite. CASTER-ZT utilise des scores de confiance gradués (0–1) auditables, permettant une explication directe de chaque décision de contrôle d’accès au gestionnaire réseau.</w:t>
      </w:r>
    </w:p>
    <w:p>
      <w:pPr>
        <w:spacing w:before="20" w:after="40" w:line="240" w:lineRule="exact"/>
        <w:ind w:left="283"/>
      </w:pPr>
      <w:r>
        <w:rPr>
          <w:rFonts w:ascii="Century Gothic" w:hAnsi="Century Gothic"/>
          <w:b/>
          <w:i w:val="0"/>
          <w:sz w:val="20"/>
        </w:rPr>
        <w:t xml:space="preserve">IA responsable. </w:t>
      </w:r>
      <w:r>
        <w:rPr>
          <w:rFonts w:ascii="Century Gothic" w:hAnsi="Century Gothic"/>
          <w:b w:val="0"/>
          <w:i w:val="0"/>
          <w:sz w:val="20"/>
        </w:rPr>
        <w:t>CALASH intègre une comptabilité carbone du cycle de vie (ISO 14040) directement dans la fonction de coût de routage, réduisant l’intensité carbone de 33 % par rapport aux protocoles de référence. L’architecture zéro-confiance protège la vie privée des données collectées. Le SDK est conçu pour être auditable et conforme aux exigences ESG des déploiements en infrastructure critique.</w:t>
      </w:r>
    </w:p>
    <w:p>
      <w:pPr>
        <w:spacing w:before="80" w:after="40" w:line="240" w:lineRule="exact"/>
      </w:pPr>
      <w:r>
        <w:rPr>
          <w:rFonts w:ascii="Century Gothic" w:hAnsi="Century Gothic"/>
          <w:b/>
          <w:i w:val="0"/>
          <w:sz w:val="20"/>
        </w:rPr>
        <w:t>3. Analyse du marché</w:t>
      </w:r>
    </w:p>
    <w:p>
      <w:pPr>
        <w:spacing w:before="0" w:after="60" w:line="240" w:lineRule="exact"/>
      </w:pPr>
      <w:r>
        <w:rPr>
          <w:rFonts w:ascii="Century Gothic" w:hAnsi="Century Gothic"/>
          <w:b w:val="0"/>
          <w:i w:val="0"/>
          <w:sz w:val="20"/>
        </w:rPr>
        <w:t>Le marché de l’IoT industriel, de la gestion de catastrophes et de la surveillance d’infrastructure critique est en forte croissance, porté par l’intensification des événements climatiques extrêmes, la généralisation des réseaux 6G privés et les exigences réglementaires croissantes en matière de résilience des infrastructures critiques (secteurs énergétique, municipal, minier et agricole).</w:t>
      </w:r>
    </w:p>
    <w:p>
      <w:pPr>
        <w:spacing w:before="0" w:after="60" w:line="240" w:lineRule="exact"/>
      </w:pPr>
      <w:r>
        <w:rPr>
          <w:rFonts w:ascii="Century Gothic" w:hAnsi="Century Gothic"/>
          <w:b/>
          <w:i w:val="0"/>
          <w:sz w:val="20"/>
        </w:rPr>
        <w:t xml:space="preserve">Différenciation. </w:t>
      </w:r>
      <w:r>
        <w:rPr>
          <w:rFonts w:ascii="Century Gothic" w:hAnsi="Century Gothic"/>
          <w:b w:val="0"/>
          <w:i w:val="0"/>
          <w:sz w:val="20"/>
        </w:rPr>
        <w:t>Les solutions commerciales existantes (AWS IoT Greengrass, Azure IoT Edge, Zephyr RTOS) ne proposent aucune intégration native de comptabilité carbone LCA ni de sécurité zéro-confiance dans une empreinte inférieure à 103 KB. Les protocoles académiques (LEACH, PEGASIS) n’offrent ni garanties formelles de sécurité ni conscience de l’empreinte carbone. Le GreenRoute SDK occupe un segment inexploité : IoT embarqué, durable, sécurisé et certifiable.</w:t>
      </w:r>
    </w:p>
    <w:p>
      <w:pPr>
        <w:spacing w:before="0" w:after="60" w:line="240" w:lineRule="exact"/>
      </w:pPr>
      <w:r>
        <w:rPr>
          <w:rFonts w:ascii="Century Gothic" w:hAnsi="Century Gothic"/>
          <w:b/>
          <w:i w:val="0"/>
          <w:sz w:val="20"/>
        </w:rPr>
        <w:t xml:space="preserve">Intérêt de marché. </w:t>
      </w:r>
      <w:r>
        <w:rPr>
          <w:rFonts w:ascii="Century Gothic" w:hAnsi="Century Gothic"/>
          <w:b w:val="0"/>
          <w:i w:val="0"/>
          <w:sz w:val="20"/>
        </w:rPr>
        <w:t>Le GreenRoute SDK est pertinent pour les équipementiers (OEM) développant des solutions de surveillance pour l’agriculture intelligente, le secteur minier, les réseaux d’énergie distribués et la gestion de crise municipale — secteurs où la contrainte d’empreinte mémoire, la sécurité embarquée et la durabilité sont des critères différenciants.</w:t>
      </w:r>
    </w:p>
    <w:p>
      <w:pPr>
        <w:spacing w:before="40" w:after="40" w:line="240" w:lineRule="exact"/>
      </w:pPr>
      <w:r>
        <w:rPr>
          <w:rFonts w:ascii="Century Gothic" w:hAnsi="Century Gothic"/>
          <w:b/>
          <w:i w:val="0"/>
          <w:sz w:val="20"/>
        </w:rPr>
        <w:t>4. Motivations entrepreneuriales</w:t>
      </w:r>
    </w:p>
    <w:p>
      <w:pPr>
        <w:spacing w:before="0" w:after="100" w:line="240" w:lineRule="exact"/>
      </w:pPr>
      <w:r>
        <w:rPr>
          <w:rFonts w:ascii="Century Gothic" w:hAnsi="Century Gothic"/>
          <w:b w:val="0"/>
          <w:i w:val="0"/>
          <w:sz w:val="20"/>
        </w:rPr>
        <w:t>Mes travaux doctoraux m’ont amené à concevoir une pile technologique complète, de la formulation mathématique à l’implémentation hardware. Cette maîtrise de bout en bout — algorithmes, code embarqué, évaluation formelle — est précisément ce qui est nécessaire pour transformer un résultat de recherche en produit commercial viable. Je suis motivé par l’urgence de mettre sur le marché une solution qui adresse simultanément la fiabilité des communications en situation de crise, la soutenabilité environnementale de l’IoT et la sécurité des infrastructures critiques. Le financement postdoc-entrepreneur(e) IVADO est l’environnement idéal pour mener à bien cette transition, en bénéficiant du réseau académique de Polytechnique Montréal et du réseau entrepreneurial d’IVADO.</w:t>
      </w:r>
    </w:p>
    <w:p>
      <w:pPr>
        <w:spacing w:before="40" w:after="40" w:line="240" w:lineRule="exact"/>
      </w:pPr>
      <w:r>
        <w:rPr>
          <w:rFonts w:ascii="Century Gothic" w:hAnsi="Century Gothic"/>
          <w:b/>
          <w:i w:val="0"/>
          <w:sz w:val="20"/>
        </w:rPr>
        <w:t>Annexe — Résumé de la thèse, mots-clés et publications</w:t>
      </w:r>
    </w:p>
    <w:p>
      <w:pPr>
        <w:spacing w:before="0" w:after="60" w:line="240" w:lineRule="exact"/>
      </w:pPr>
      <w:r>
        <w:rPr>
          <w:rFonts w:ascii="Century Gothic" w:hAnsi="Century Gothic"/>
          <w:b/>
          <w:i w:val="0"/>
          <w:sz w:val="20"/>
        </w:rPr>
        <w:t xml:space="preserve">Résumé de la thèse. </w:t>
      </w:r>
      <w:r>
        <w:rPr>
          <w:rFonts w:ascii="Century Gothic" w:hAnsi="Century Gothic"/>
          <w:b w:val="0"/>
          <w:i w:val="0"/>
          <w:sz w:val="20"/>
        </w:rPr>
        <w:t>Cette thèse conçoit une pile complète de protocoles de routage intelligent pour WSN de surveillance des catastrophes intégrés aux technologies 6G. Trois contributions : (1) GAPF, MARL + GNN, 98–99 % PDR, 1 473 paramètres entraînables ; (2) CALASH, routage conscient LCI (ISO 14040), −33 % intensité carbone, convergence Lyapunov ; (3) CASTER-ZT, zéro-confiance gradué, 0 % faux positifs, budget 10 ms O-RAN.</w:t>
      </w:r>
    </w:p>
    <w:p>
      <w:pPr>
        <w:spacing w:before="0" w:after="60" w:line="240" w:lineRule="exact"/>
      </w:pPr>
      <w:r>
        <w:rPr>
          <w:rFonts w:ascii="Century Gothic" w:hAnsi="Century Gothic"/>
          <w:b/>
          <w:i w:val="0"/>
          <w:sz w:val="20"/>
        </w:rPr>
        <w:t xml:space="preserve">Mots-clés. </w:t>
      </w:r>
      <w:r>
        <w:rPr>
          <w:rFonts w:ascii="Century Gothic" w:hAnsi="Century Gothic"/>
          <w:b w:val="0"/>
          <w:i w:val="0"/>
          <w:sz w:val="20"/>
        </w:rPr>
        <w:t>WSN ; routage multi-sauts ; MARL ; GNN ; LCI ISO 14040 ; zéro-confiance ; O-RAN ; 6G embarqué ; IoT durable ; SDK embarqué.</w:t>
      </w:r>
    </w:p>
    <w:p>
      <w:pPr>
        <w:spacing w:before="0" w:after="160" w:line="240" w:lineRule="exact"/>
      </w:pPr>
      <w:r>
        <w:rPr>
          <w:rFonts w:ascii="Century Gothic" w:hAnsi="Century Gothic"/>
          <w:b/>
          <w:i w:val="0"/>
          <w:sz w:val="20"/>
        </w:rPr>
        <w:t xml:space="preserve">Publications. </w:t>
      </w:r>
      <w:r>
        <w:rPr>
          <w:rFonts w:ascii="Century Gothic" w:hAnsi="Century Gothic"/>
          <w:b w:val="0"/>
          <w:i w:val="0"/>
          <w:sz w:val="20"/>
        </w:rPr>
      </w:r>
      <w:r>
        <w:rPr>
          <w:rFonts w:ascii="Century Gothic" w:hAnsi="Century Gothic"/>
          <w:b w:val="0"/>
          <w:sz w:val="20"/>
        </w:rPr>
        <w:t>[1] G. P. Djimefo Kapen, R. Al Mallah et S. Pierre, “Graph-Attentive Policy Fusion for Lightweight Multi-Agent Routing in Disaster-Monitoring Wireless Sensor Networks (GAPF),” IEEE Transactions on Green Communications and Networking (IEEE TGCN), vol. 10, pp. 2921–2933, mai 2026. DOI : 10.1109/TGCN.2026.3690507 — https://ieeexplore.ieee.org/document/11506604 — [2] G. P. Djimefo Kapen, R. Al Mallah et S. Pierre, “Carbon-Aware Autonomous Data Reduction and Self-Healing Routing for 6G-Integrated Disaster Sensor Networks: A Lifecycle-Sustainable Approach (CALASH),” Soumis à comité de lecture, IEEE Transactions on Green Communications and Networking (IEEE TGCN), 2026. — [3] G. P. Djimefo Kapen, R. Al Mallah et S. Pierre, “Zero-Trust Shielded Graph-Structured Decision Control for Secure Autonomous Recovery in AI-Native 6G Disaster-Monitoring Sensing Networks (CASTER-ZT),” Soumis à comité de lecture, IEEE Transactions on Mobile Computing (IEEE TMC), 2026.</w:t>
      </w:r>
    </w:p>
    <w:p>
      <w:pPr>
        <w:spacing w:before="0" w:after="200" w:line="240" w:lineRule="exact"/>
      </w:pPr>
      <w:r>
        <w:rPr>
          <w:rFonts w:ascii="Century Gothic" w:hAnsi="Century Gothic"/>
          <w:b w:val="0"/>
          <w:i w:val="0"/>
          <w:sz w:val="20"/>
        </w:rPr>
        <w:t>Veuillez agréer, Madame, Monsieur, l’expression de mes salutations distinguées.</w:t>
      </w:r>
    </w:p>
    <w:p>
      <w:pPr>
        <w:spacing w:before="0" w:after="0" w:line="240" w:lineRule="exact"/>
      </w:pPr>
      <w:r>
        <w:rPr>
          <w:rFonts w:ascii="Century Gothic" w:hAnsi="Century Gothic"/>
          <w:b/>
          <w:i w:val="0"/>
          <w:sz w:val="20"/>
        </w:rPr>
        <w:t>Georges Parfait Djimefo Kapen</w:t>
      </w:r>
    </w:p>
    <w:p>
      <w:pPr>
        <w:spacing w:before="0" w:after="0" w:line="240" w:lineRule="exact"/>
      </w:pPr>
      <w:r>
        <w:rPr>
          <w:rFonts w:ascii="Century Gothic" w:hAnsi="Century Gothic"/>
          <w:b w:val="0"/>
          <w:i w:val="0"/>
          <w:sz w:val="20"/>
        </w:rPr>
        <w:t>Candidat au doctorat, Département de génie informatique</w:t>
      </w:r>
    </w:p>
    <w:p>
      <w:pPr>
        <w:spacing w:before="0" w:after="0" w:line="240" w:lineRule="exact"/>
      </w:pPr>
      <w:r>
        <w:rPr>
          <w:rFonts w:ascii="Century Gothic" w:hAnsi="Century Gothic"/>
          <w:b w:val="0"/>
          <w:i w:val="0"/>
          <w:sz w:val="20"/>
        </w:rPr>
        <w:t>Polytechnique Montréal</w:t>
      </w:r>
    </w:p>
    <w:p>
      <w:pPr>
        <w:spacing w:before="0" w:after="0" w:line="240" w:lineRule="exact"/>
      </w:pPr>
      <w:r>
        <w:rPr>
          <w:rFonts w:ascii="Century Gothic" w:hAnsi="Century Gothic"/>
          <w:b w:val="0"/>
          <w:i w:val="0"/>
          <w:sz w:val="20"/>
        </w:rPr>
        <w:t>georges-parfait.djimefo-kapen@polymtl.ca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