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4056EFD">
      <w:pPr>
        <w:spacing w:after="80"/>
      </w:pPr>
      <w:r>
        <w:rPr>
          <w:rFonts w:ascii="Calibri" w:hAnsi="Calibri" w:eastAsia="Calibri" w:cs="Calibri"/>
          <w:b/>
          <w:bCs/>
          <w:color w:val="888888"/>
          <w:sz w:val="22"/>
          <w:szCs w:val="22"/>
        </w:rPr>
        <w:t>INTERVIEW ASSIGNMENT</w:t>
      </w:r>
    </w:p>
    <w:p w14:paraId="731BAFD7">
      <w:pPr>
        <w:spacing w:after="60"/>
      </w:pPr>
      <w:r>
        <w:rPr>
          <w:rFonts w:ascii="Calibri" w:hAnsi="Calibri" w:eastAsia="Calibri" w:cs="Calibri"/>
          <w:b/>
          <w:bCs/>
          <w:color w:val="1F4E79"/>
          <w:sz w:val="40"/>
          <w:szCs w:val="40"/>
        </w:rPr>
        <w:t>Schema Field Mapper</w:t>
      </w:r>
    </w:p>
    <w:p w14:paraId="394518EA">
      <w:pPr>
        <w:spacing w:after="80"/>
      </w:pPr>
      <w:r>
        <w:rPr>
          <w:rFonts w:ascii="Calibri" w:hAnsi="Calibri" w:eastAsia="Calibri" w:cs="Calibri"/>
          <w:color w:val="1F4E79"/>
          <w:sz w:val="24"/>
          <w:szCs w:val="24"/>
        </w:rPr>
        <w:t>Design, Implementation, and Reasoning</w:t>
      </w:r>
    </w:p>
    <w:p w14:paraId="6A2BD2B7">
      <w:pPr>
        <w:pBdr>
          <w:bottom w:val="single" w:sz="8" w:space="6" w:color="1F4E79"/>
        </w:pBdr>
        <w:spacing w:after="200"/>
      </w:pPr>
      <w:r>
        <w:rPr>
          <w:rFonts w:ascii="Calibri" w:hAnsi="Calibri" w:eastAsia="Calibri" w:cs="Calibri"/>
          <w:i/>
          <w:iCs/>
          <w:color w:val="666666"/>
          <w:sz w:val="22"/>
          <w:szCs w:val="22"/>
        </w:rPr>
        <w:t xml:space="preserve">AI / LLM Engineer  |  Prepared by Scott Josephson</w:t>
      </w:r>
    </w:p>
    <w:p w14:paraId="0D9A18AE">
      <w:pPr>
        <w:pStyle w:val="Heading1"/>
        <w:spacing w:before="280" w:after="140"/>
      </w:pPr>
      <w:r>
        <w:rPr>
          <w:rFonts w:ascii="Calibri" w:hAnsi="Calibri" w:eastAsia="Calibri" w:cs="Calibri"/>
          <w:b/>
          <w:bCs/>
          <w:color w:val="1F4E79"/>
          <w:sz w:val="30"/>
          <w:szCs w:val="30"/>
        </w:rPr>
        <w:t>Executive summary</w:t>
      </w:r>
    </w:p>
    <w:p w14:paraId="450AF952">
      <w:pPr>
        <w:spacing w:after="140"/>
        <w:jc w:val="both"/>
      </w:pPr>
      <w:r>
        <w:rPr>
          <w:rFonts w:ascii="Calibri" w:hAnsi="Calibri" w:eastAsia="Calibri" w:cs="Calibri"/>
          <w:sz w:val="22"/>
          <w:szCs w:val="22"/>
        </w:rPr>
        <w:t>I built a four-stage pipeline. Two deterministic stages sandwich two LLM stages. The LLM stages are structured so that no single call ever sees both full schemas: the first LLM call sees only table names and one-line purposes to identify which source table pairs with which destination collection; the second LLM call runs once per matched pair and sees only that pair's fields. The final deterministic stage is split into two sub-stages: enrichment (which applies rules the LLM often misses, like MongoDB unique-index reminders for fields with a UNIQUE constraint) and verification (which catches missing fields, invalid destination paths, duplicate destination claims, and confidence out-of-range issues before output).</w:t>
      </w:r>
    </w:p>
    <w:p w14:paraId="6A201449">
      <w:pPr>
        <w:spacing w:after="140"/>
        <w:jc w:val="both"/>
      </w:pPr>
      <w:r>
        <w:rPr>
          <w:rFonts w:ascii="Calibri" w:hAnsi="Calibri" w:eastAsia="Calibri" w:cs="Calibri"/>
          <w:sz w:val="22"/>
          <w:szCs w:val="22"/>
        </w:rPr>
        <w:t>The pipeline scales cleanly. A schema with N source tables and M destination collections requires one table-matching call plus N field-mapping calls (parallelizable), not one impossible mega-prompt. At 1000 tables the field-mapping stage runs in parallel with bounded context per call.</w:t>
      </w:r>
    </w:p>
    <w:p w14:paraId="491E7BB7">
      <w:pPr>
        <w:spacing w:after="140"/>
        <w:jc w:val="both"/>
      </w:pPr>
      <w:r>
        <w:rPr>
          <w:rFonts w:ascii="Calibri" w:hAnsi="Calibri" w:eastAsia="Calibri" w:cs="Calibri"/>
          <w:sz w:val="22"/>
          <w:szCs w:val="22"/>
        </w:rPr>
        <w:t>Two specific engineering decisions in the field-mapping stage prevent common LLM failure modes. First, the field-mapping prompt includes explicit confidence-calibration guidance (four bands with concrete criteria for each) so the LLM does not default to a uniform 1.0 across every mapping, which would defeat the purpose of surfacing confidence at all. Second, deterministic enrichment applies rules like UNIQUE-constraint preservation mechanically from the parsed source schema rather than depending on the LLM to remember them consistently.</w:t>
      </w:r>
    </w:p>
    <w:p w14:paraId="2DC0E18E">
      <w:pPr>
        <w:spacing w:after="140"/>
        <w:jc w:val="both"/>
      </w:pPr>
      <w:r>
        <w:rPr>
          <w:rFonts w:ascii="Calibri" w:hAnsi="Calibri" w:eastAsia="Calibri" w:cs="Calibri"/>
          <w:sz w:val="22"/>
          <w:szCs w:val="22"/>
        </w:rPr>
        <w:t>The deliverables in this submission are: pipeline.py containing the full pipeline implementation; mapping.json containing the generated output; and this write-up explaining prompt structure and design decisions.</w:t>
      </w:r>
    </w:p>
    <w:p w14:paraId="71A1AC9D">
      <w:pPr>
        <w:pStyle w:val="Heading1"/>
        <w:spacing w:before="280" w:after="140"/>
      </w:pPr>
      <w:r>
        <w:rPr>
          <w:rFonts w:ascii="Calibri" w:hAnsi="Calibri" w:eastAsia="Calibri" w:cs="Calibri"/>
          <w:b/>
          <w:bCs/>
          <w:color w:val="1F4E79"/>
          <w:sz w:val="30"/>
          <w:szCs w:val="30"/>
        </w:rPr>
        <w:t>Architecture</w:t>
      </w:r>
    </w:p>
    <w:p w14:paraId="0BE2BF2F">
      <w:pPr>
        <w:pStyle w:val="Heading2"/>
        <w:spacing w:before="220" w:after="100"/>
      </w:pPr>
      <w:r>
        <w:rPr>
          <w:rFonts w:ascii="Calibri" w:hAnsi="Calibri" w:eastAsia="Calibri" w:cs="Calibri"/>
          <w:b/>
          <w:bCs/>
          <w:color w:val="2E75B6"/>
          <w:sz w:val="24"/>
          <w:szCs w:val="24"/>
        </w:rPr>
        <w:t>Why four stages</w:t>
      </w:r>
    </w:p>
    <w:p w14:paraId="3E0C8D47">
      <w:pPr>
        <w:spacing w:after="140"/>
        <w:jc w:val="both"/>
      </w:pPr>
      <w:r>
        <w:rPr>
          <w:rFonts w:ascii="Calibri" w:hAnsi="Calibri" w:eastAsia="Calibri" w:cs="Calibri"/>
          <w:sz w:val="22"/>
          <w:szCs w:val="22"/>
        </w:rPr>
        <w:t>Each stage exists because the specific work at that stage is best served by a specific tool. Deterministic work (parsing, flattening, rule application, verification) goes in deterministic stages. Judgment work (semantic equivalence, type-transformation reasoning, ambiguity resolution) goes in LLM stages. Mixing the two makes the pipeline harder to test and easier to fail silently.</w:t>
      </w:r>
    </w:p>
    <w:p w14:paraId="5D98F6A8">
      <w:pPr>
        <w:shd w:val="clear" w:fill="F5F5F5"/>
        <w:spacing w:after="0"/>
      </w:pPr>
      <w:r>
        <w:rPr>
          <w:rFonts w:ascii="Consolas" w:hAnsi="Consolas" w:eastAsia="Consolas" w:cs="Consolas"/>
          <w:sz w:val="18"/>
          <w:szCs w:val="18"/>
        </w:rPr>
        <w:t xml:space="preserve">  Source schema (MySQL)      Destination schema (MongoDB)</w:t>
      </w:r>
    </w:p>
    <w:p w14:paraId="094C1C2F">
      <w:pPr>
        <w:shd w:val="clear" w:fill="F5F5F5"/>
        <w:spacing w:after="0"/>
      </w:pPr>
      <w:r>
        <w:rPr>
          <w:rFonts w:ascii="Consolas" w:hAnsi="Consolas" w:eastAsia="Consolas" w:cs="Consolas"/>
          <w:sz w:val="18"/>
          <w:szCs w:val="18"/>
        </w:rPr>
        <w:t xml:space="preserve">         |                              |</w:t>
      </w:r>
    </w:p>
    <w:p w14:paraId="2D95A3FB">
      <w:pPr>
        <w:shd w:val="clear" w:fill="F5F5F5"/>
        <w:spacing w:after="0"/>
      </w:pPr>
      <w:r>
        <w:rPr>
          <w:rFonts w:ascii="Consolas" w:hAnsi="Consolas" w:eastAsia="Consolas" w:cs="Consolas"/>
          <w:sz w:val="18"/>
          <w:szCs w:val="18"/>
        </w:rPr>
        <w:t xml:space="preserve">         v                              v</w:t>
      </w:r>
    </w:p>
    <w:p w14:paraId="1CE9DDF0">
      <w:pPr>
        <w:shd w:val="clear" w:fill="F5F5F5"/>
        <w:spacing w:after="0"/>
      </w:pPr>
      <w:r>
        <w:rPr>
          <w:rFonts w:ascii="Consolas" w:hAnsi="Consolas" w:eastAsia="Consolas" w:cs="Consolas"/>
          <w:sz w:val="18"/>
          <w:szCs w:val="18"/>
        </w:rPr>
        <w:t xml:space="preserve">  [1] Schema parsing (deterministic, no LLM)</w:t>
      </w:r>
    </w:p>
    <w:p w14:paraId="142BDC46">
      <w:pPr>
        <w:shd w:val="clear" w:fill="F5F5F5"/>
        <w:spacing w:after="0"/>
      </w:pPr>
      <w:r>
        <w:rPr>
          <w:rFonts w:ascii="Consolas" w:hAnsi="Consolas" w:eastAsia="Consolas" w:cs="Consolas"/>
          <w:sz w:val="18"/>
          <w:szCs w:val="18"/>
        </w:rPr>
        <w:t xml:space="preserve">      Parse into typed Pydantic models. Flatten MongoDB</w:t>
      </w:r>
    </w:p>
    <w:p w14:paraId="45F4B121">
      <w:pPr>
        <w:shd w:val="clear" w:fill="F5F5F5"/>
        <w:spacing w:after="0"/>
      </w:pPr>
      <w:r>
        <w:rPr>
          <w:rFonts w:ascii="Consolas" w:hAnsi="Consolas" w:eastAsia="Consolas" w:cs="Consolas"/>
          <w:sz w:val="18"/>
          <w:szCs w:val="18"/>
        </w:rPr>
        <w:t xml:space="preserve">      nested paths to dot notation (fullName.firstName).</w:t>
      </w:r>
    </w:p>
    <w:p w14:paraId="5E6C5086">
      <w:pPr>
        <w:shd w:val="clear" w:fill="F5F5F5"/>
        <w:spacing w:after="0"/>
      </w:pPr>
      <w:r>
        <w:rPr>
          <w:rFonts w:ascii="Consolas" w:hAnsi="Consolas" w:eastAsia="Consolas" w:cs="Consolas"/>
          <w:sz w:val="18"/>
          <w:szCs w:val="18"/>
        </w:rPr>
        <w:t xml:space="preserve">         |</w:t>
      </w:r>
    </w:p>
    <w:p w14:paraId="50D7440F">
      <w:pPr>
        <w:shd w:val="clear" w:fill="F5F5F5"/>
        <w:spacing w:after="0"/>
      </w:pPr>
      <w:r>
        <w:rPr>
          <w:rFonts w:ascii="Consolas" w:hAnsi="Consolas" w:eastAsia="Consolas" w:cs="Consolas"/>
          <w:sz w:val="18"/>
          <w:szCs w:val="18"/>
        </w:rPr>
        <w:t xml:space="preserve">         v</w:t>
      </w:r>
    </w:p>
    <w:p w14:paraId="7D0D1CAC">
      <w:pPr>
        <w:shd w:val="clear" w:fill="F5F5F5"/>
        <w:spacing w:after="0"/>
      </w:pPr>
      <w:r>
        <w:rPr>
          <w:rFonts w:ascii="Consolas" w:hAnsi="Consolas" w:eastAsia="Consolas" w:cs="Consolas"/>
          <w:sz w:val="18"/>
          <w:szCs w:val="18"/>
        </w:rPr>
        <w:t xml:space="preserve">  [2] Table matching  (LLM, one call, names only)</w:t>
      </w:r>
    </w:p>
    <w:p w14:paraId="0E88874B">
      <w:pPr>
        <w:shd w:val="clear" w:fill="F5F5F5"/>
        <w:spacing w:after="0"/>
      </w:pPr>
      <w:r>
        <w:rPr>
          <w:rFonts w:ascii="Consolas" w:hAnsi="Consolas" w:eastAsia="Consolas" w:cs="Consolas"/>
          <w:sz w:val="18"/>
          <w:szCs w:val="18"/>
        </w:rPr>
        <w:t xml:space="preserve">      Input: table names + one-line purposes ONLY.</w:t>
      </w:r>
    </w:p>
    <w:p w14:paraId="1DA56527">
      <w:pPr>
        <w:shd w:val="clear" w:fill="F5F5F5"/>
        <w:spacing w:after="0"/>
      </w:pPr>
      <w:r>
        <w:rPr>
          <w:rFonts w:ascii="Consolas" w:hAnsi="Consolas" w:eastAsia="Consolas" w:cs="Consolas"/>
          <w:sz w:val="18"/>
          <w:szCs w:val="18"/>
        </w:rPr>
        <w:t xml:space="preserve">      Output: {source_table -&gt; destination_collection} pairs.</w:t>
      </w:r>
    </w:p>
    <w:p w14:paraId="4081F8A2">
      <w:pPr>
        <w:shd w:val="clear" w:fill="F5F5F5"/>
        <w:spacing w:after="0"/>
      </w:pPr>
      <w:r>
        <w:rPr>
          <w:rFonts w:ascii="Consolas" w:hAnsi="Consolas" w:eastAsia="Consolas" w:cs="Consolas"/>
          <w:sz w:val="18"/>
          <w:szCs w:val="18"/>
        </w:rPr>
        <w:t xml:space="preserve">         |</w:t>
      </w:r>
    </w:p>
    <w:p w14:paraId="4C0A12AD">
      <w:pPr>
        <w:shd w:val="clear" w:fill="F5F5F5"/>
        <w:spacing w:after="0"/>
      </w:pPr>
      <w:r>
        <w:rPr>
          <w:rFonts w:ascii="Consolas" w:hAnsi="Consolas" w:eastAsia="Consolas" w:cs="Consolas"/>
          <w:sz w:val="18"/>
          <w:szCs w:val="18"/>
        </w:rPr>
        <w:t xml:space="preserve">         v</w:t>
      </w:r>
    </w:p>
    <w:p w14:paraId="571A2157">
      <w:pPr>
        <w:shd w:val="clear" w:fill="F5F5F5"/>
        <w:spacing w:after="0"/>
      </w:pPr>
      <w:r>
        <w:rPr>
          <w:rFonts w:ascii="Consolas" w:hAnsi="Consolas" w:eastAsia="Consolas" w:cs="Consolas"/>
          <w:sz w:val="18"/>
          <w:szCs w:val="18"/>
        </w:rPr>
        <w:t xml:space="preserve">  [3] Field mapping   (LLM, one call PER matched pair)</w:t>
      </w:r>
    </w:p>
    <w:p w14:paraId="2EBA77BB">
      <w:pPr>
        <w:shd w:val="clear" w:fill="F5F5F5"/>
        <w:spacing w:after="0"/>
      </w:pPr>
      <w:r>
        <w:rPr>
          <w:rFonts w:ascii="Consolas" w:hAnsi="Consolas" w:eastAsia="Consolas" w:cs="Consolas"/>
          <w:sz w:val="18"/>
          <w:szCs w:val="18"/>
        </w:rPr>
        <w:t xml:space="preserve">      Input for each call: fields of ONE source table +</w:t>
      </w:r>
    </w:p>
    <w:p w14:paraId="18EAA482">
      <w:pPr>
        <w:shd w:val="clear" w:fill="F5F5F5"/>
        <w:spacing w:after="0"/>
      </w:pPr>
      <w:r>
        <w:rPr>
          <w:rFonts w:ascii="Consolas" w:hAnsi="Consolas" w:eastAsia="Consolas" w:cs="Consolas"/>
          <w:sz w:val="18"/>
          <w:szCs w:val="18"/>
        </w:rPr>
        <w:t xml:space="preserve">      paths of ONE destination collection.</w:t>
      </w:r>
    </w:p>
    <w:p w14:paraId="52C25CCE">
      <w:pPr>
        <w:shd w:val="clear" w:fill="F5F5F5"/>
        <w:spacing w:after="0"/>
      </w:pPr>
      <w:r>
        <w:rPr>
          <w:rFonts w:ascii="Consolas" w:hAnsi="Consolas" w:eastAsia="Consolas" w:cs="Consolas"/>
          <w:sz w:val="18"/>
          <w:szCs w:val="18"/>
        </w:rPr>
        <w:t xml:space="preserve">      Output: schema-constrained JSON per pair.</w:t>
      </w:r>
    </w:p>
    <w:p w14:paraId="30D2C40D">
      <w:pPr>
        <w:shd w:val="clear" w:fill="F5F5F5"/>
        <w:spacing w:after="0"/>
      </w:pPr>
      <w:r>
        <w:rPr>
          <w:rFonts w:ascii="Consolas" w:hAnsi="Consolas" w:eastAsia="Consolas" w:cs="Consolas"/>
          <w:sz w:val="18"/>
          <w:szCs w:val="18"/>
        </w:rPr>
        <w:t xml:space="preserve">      Prompt includes explicit confidence-calibration</w:t>
      </w:r>
    </w:p>
    <w:p w14:paraId="75B9EDCE">
      <w:pPr>
        <w:shd w:val="clear" w:fill="F5F5F5"/>
        <w:spacing w:after="0"/>
      </w:pPr>
      <w:r>
        <w:rPr>
          <w:rFonts w:ascii="Consolas" w:hAnsi="Consolas" w:eastAsia="Consolas" w:cs="Consolas"/>
          <w:sz w:val="18"/>
          <w:szCs w:val="18"/>
        </w:rPr>
        <w:t xml:space="preserve">      guidance to prevent uniform-1.0 uncalibrated output.</w:t>
      </w:r>
    </w:p>
    <w:p w14:paraId="605E12F0">
      <w:pPr>
        <w:shd w:val="clear" w:fill="F5F5F5"/>
        <w:spacing w:after="0"/>
      </w:pPr>
      <w:r>
        <w:rPr>
          <w:rFonts w:ascii="Consolas" w:hAnsi="Consolas" w:eastAsia="Consolas" w:cs="Consolas"/>
          <w:sz w:val="18"/>
          <w:szCs w:val="18"/>
        </w:rPr>
        <w:t xml:space="preserve">         |</w:t>
      </w:r>
    </w:p>
    <w:p w14:paraId="67CC1D02">
      <w:pPr>
        <w:shd w:val="clear" w:fill="F5F5F5"/>
        <w:spacing w:after="0"/>
      </w:pPr>
      <w:r>
        <w:rPr>
          <w:rFonts w:ascii="Consolas" w:hAnsi="Consolas" w:eastAsia="Consolas" w:cs="Consolas"/>
          <w:sz w:val="18"/>
          <w:szCs w:val="18"/>
        </w:rPr>
        <w:t xml:space="preserve">         v</w:t>
      </w:r>
    </w:p>
    <w:p w14:paraId="79B4A89A">
      <w:pPr>
        <w:shd w:val="clear" w:fill="F5F5F5"/>
        <w:spacing w:after="0"/>
      </w:pPr>
      <w:r>
        <w:rPr>
          <w:rFonts w:ascii="Consolas" w:hAnsi="Consolas" w:eastAsia="Consolas" w:cs="Consolas"/>
          <w:sz w:val="18"/>
          <w:szCs w:val="18"/>
        </w:rPr>
        <w:t xml:space="preserve">  [4a] Enrichment (deterministic)</w:t>
      </w:r>
    </w:p>
    <w:p w14:paraId="40DB7259">
      <w:pPr>
        <w:shd w:val="clear" w:fill="F5F5F5"/>
        <w:spacing w:after="0"/>
      </w:pPr>
      <w:r>
        <w:rPr>
          <w:rFonts w:ascii="Consolas" w:hAnsi="Consolas" w:eastAsia="Consolas" w:cs="Consolas"/>
          <w:sz w:val="18"/>
          <w:szCs w:val="18"/>
        </w:rPr>
        <w:t xml:space="preserve">       Apply mechanical rules the LLM tends to miss.</w:t>
      </w:r>
    </w:p>
    <w:p w14:paraId="36802820">
      <w:pPr>
        <w:shd w:val="clear" w:fill="F5F5F5"/>
        <w:spacing w:after="0"/>
      </w:pPr>
      <w:r>
        <w:rPr>
          <w:rFonts w:ascii="Consolas" w:hAnsi="Consolas" w:eastAsia="Consolas" w:cs="Consolas"/>
          <w:sz w:val="18"/>
          <w:szCs w:val="18"/>
        </w:rPr>
        <w:t xml:space="preserve">       Currently: UNIQUE-constraint preservation as a</w:t>
      </w:r>
    </w:p>
    <w:p w14:paraId="3804A984">
      <w:pPr>
        <w:shd w:val="clear" w:fill="F5F5F5"/>
        <w:spacing w:after="0"/>
      </w:pPr>
      <w:r>
        <w:rPr>
          <w:rFonts w:ascii="Consolas" w:hAnsi="Consolas" w:eastAsia="Consolas" w:cs="Consolas"/>
          <w:sz w:val="18"/>
          <w:szCs w:val="18"/>
        </w:rPr>
        <w:t xml:space="preserve">       MongoDB unique-index reminder on non-_id targets.</w:t>
      </w:r>
    </w:p>
    <w:p w14:paraId="078ABBD3">
      <w:pPr>
        <w:shd w:val="clear" w:fill="F5F5F5"/>
        <w:spacing w:after="0"/>
      </w:pPr>
      <w:r>
        <w:rPr>
          <w:rFonts w:ascii="Consolas" w:hAnsi="Consolas" w:eastAsia="Consolas" w:cs="Consolas"/>
          <w:sz w:val="18"/>
          <w:szCs w:val="18"/>
        </w:rPr>
        <w:t xml:space="preserve">         |</w:t>
      </w:r>
    </w:p>
    <w:p w14:paraId="50218800">
      <w:pPr>
        <w:shd w:val="clear" w:fill="F5F5F5"/>
        <w:spacing w:after="0"/>
      </w:pPr>
      <w:r>
        <w:rPr>
          <w:rFonts w:ascii="Consolas" w:hAnsi="Consolas" w:eastAsia="Consolas" w:cs="Consolas"/>
          <w:sz w:val="18"/>
          <w:szCs w:val="18"/>
        </w:rPr>
        <w:t xml:space="preserve">         v</w:t>
      </w:r>
    </w:p>
    <w:p w14:paraId="35B22FE5">
      <w:pPr>
        <w:shd w:val="clear" w:fill="F5F5F5"/>
        <w:spacing w:after="0"/>
      </w:pPr>
      <w:r>
        <w:rPr>
          <w:rFonts w:ascii="Consolas" w:hAnsi="Consolas" w:eastAsia="Consolas" w:cs="Consolas"/>
          <w:sz w:val="18"/>
          <w:szCs w:val="18"/>
        </w:rPr>
        <w:t xml:space="preserve">  [4b] Verification (deterministic)</w:t>
      </w:r>
    </w:p>
    <w:p w14:paraId="0EB6E056">
      <w:pPr>
        <w:shd w:val="clear" w:fill="F5F5F5"/>
        <w:spacing w:after="0"/>
      </w:pPr>
      <w:r>
        <w:rPr>
          <w:rFonts w:ascii="Consolas" w:hAnsi="Consolas" w:eastAsia="Consolas" w:cs="Consolas"/>
          <w:sz w:val="18"/>
          <w:szCs w:val="18"/>
        </w:rPr>
        <w:t xml:space="preserve">       - Every source field appears in field_mappings</w:t>
      </w:r>
    </w:p>
    <w:p w14:paraId="47A097E5">
      <w:pPr>
        <w:shd w:val="clear" w:fill="F5F5F5"/>
        <w:spacing w:after="0"/>
      </w:pPr>
      <w:r>
        <w:rPr>
          <w:rFonts w:ascii="Consolas" w:hAnsi="Consolas" w:eastAsia="Consolas" w:cs="Consolas"/>
          <w:sz w:val="18"/>
          <w:szCs w:val="18"/>
        </w:rPr>
        <w:t xml:space="preserve">       - Every destination_field is a valid path</w:t>
      </w:r>
    </w:p>
    <w:p w14:paraId="272713E4">
      <w:pPr>
        <w:shd w:val="clear" w:fill="F5F5F5"/>
        <w:spacing w:after="0"/>
      </w:pPr>
      <w:r>
        <w:rPr>
          <w:rFonts w:ascii="Consolas" w:hAnsi="Consolas" w:eastAsia="Consolas" w:cs="Consolas"/>
          <w:sz w:val="18"/>
          <w:szCs w:val="18"/>
        </w:rPr>
        <w:t xml:space="preserve">       - No two source fields claim the same destination</w:t>
      </w:r>
    </w:p>
    <w:p w14:paraId="0F26D361">
      <w:pPr>
        <w:shd w:val="clear" w:fill="F5F5F5"/>
        <w:spacing w:after="0"/>
      </w:pPr>
      <w:r>
        <w:rPr>
          <w:rFonts w:ascii="Consolas" w:hAnsi="Consolas" w:eastAsia="Consolas" w:cs="Consolas"/>
          <w:sz w:val="18"/>
          <w:szCs w:val="18"/>
        </w:rPr>
        <w:t xml:space="preserve">       - All confidence values in [0.0, 1.0]</w:t>
      </w:r>
    </w:p>
    <w:p w14:paraId="24E8C979">
      <w:pPr>
        <w:shd w:val="clear" w:fill="F5F5F5"/>
        <w:spacing w:after="0"/>
      </w:pPr>
      <w:r>
        <w:rPr>
          <w:rFonts w:ascii="Consolas" w:hAnsi="Consolas" w:eastAsia="Consolas" w:cs="Consolas"/>
          <w:sz w:val="18"/>
          <w:szCs w:val="18"/>
        </w:rPr>
        <w:t xml:space="preserve">       Assemble final MappingOutput and write mapping.json.</w:t>
      </w:r>
    </w:p>
    <w:p w14:paraId="3C8D3B81">
      <w:pPr>
        <w:pStyle w:val="Heading2"/>
        <w:spacing w:before="220" w:after="100"/>
      </w:pPr>
      <w:r>
        <w:rPr>
          <w:rFonts w:ascii="Calibri" w:hAnsi="Calibri" w:eastAsia="Calibri" w:cs="Calibri"/>
          <w:b/>
          <w:bCs/>
          <w:color w:val="2E75B6"/>
          <w:sz w:val="24"/>
          <w:szCs w:val="24"/>
        </w:rPr>
        <w:t>How this respects the constraint</w:t>
      </w:r>
    </w:p>
    <w:p w14:paraId="0E381B00">
      <w:pPr>
        <w:spacing w:after="140"/>
        <w:jc w:val="both"/>
      </w:pPr>
      <w:r>
        <w:rPr>
          <w:rFonts w:ascii="Calibri" w:hAnsi="Calibri" w:eastAsia="Calibri" w:cs="Calibri"/>
          <w:sz w:val="22"/>
          <w:szCs w:val="22"/>
        </w:rPr>
        <w:t>The constraint says no single LLM prompt may receive both full schemas. My pipeline never violates that in either LLM stage.</w:t>
      </w:r>
    </w:p>
    <w:p w14:paraId="7542EF27">
      <w:pPr>
        <w:pStyle w:val="ListParagraph"/>
        <w:numPr>
          <w:ilvl w:val="0"/>
          <w:numId w:val="2"/>
        </w:numPr>
        <w:spacing w:after="60"/>
        <w:ind w:left="540" w:hanging="270"/>
      </w:pPr>
      <w:r>
        <w:rPr>
          <w:rFonts w:ascii="Calibri" w:hAnsi="Calibri" w:eastAsia="Calibri" w:cs="Calibri"/>
          <w:b/>
          <w:bCs/>
          <w:sz w:val="22"/>
          <w:szCs w:val="22"/>
        </w:rPr>
        <w:t xml:space="preserve">Stage 2 receives only table names and one-line purposes. </w:t>
      </w:r>
      <w:r>
        <w:rPr>
          <w:rFonts w:ascii="Calibri" w:hAnsi="Calibri" w:eastAsia="Calibri" w:cs="Calibri"/>
          <w:sz w:val="22"/>
          <w:szCs w:val="22"/>
        </w:rPr>
        <w:t>For the given schemas that means six lines of text total: three source table names plus three destination collection names, each with a short purpose. No fields, no types, no constraints. The LLM proposes table-to-collection pairs and returns a small JSON object.</w:t>
      </w:r>
    </w:p>
    <w:p w14:paraId="07C407C0">
      <w:pPr>
        <w:pStyle w:val="ListParagraph"/>
        <w:numPr>
          <w:ilvl w:val="0"/>
          <w:numId w:val="2"/>
        </w:numPr>
        <w:spacing w:after="60"/>
        <w:ind w:left="540" w:hanging="270"/>
      </w:pPr>
      <w:r>
        <w:rPr>
          <w:rFonts w:ascii="Calibri" w:hAnsi="Calibri" w:eastAsia="Calibri" w:cs="Calibri"/>
          <w:b/>
          <w:bCs/>
          <w:sz w:val="22"/>
          <w:szCs w:val="22"/>
        </w:rPr>
        <w:t xml:space="preserve">Stage 3 receives one source table's fields plus one destination collection's paths per call. </w:t>
      </w:r>
      <w:r>
        <w:rPr>
          <w:rFonts w:ascii="Calibri" w:hAnsi="Calibri" w:eastAsia="Calibri" w:cs="Calibri"/>
          <w:sz w:val="22"/>
          <w:szCs w:val="22"/>
        </w:rPr>
        <w:t>The three matched pairs in this assignment produce three separate LLM calls. Each call is small (under 30 fields total in the prompt) and independent. At larger scale these calls parallelize naturally.</w:t>
      </w:r>
    </w:p>
    <w:p w14:paraId="632AFF5D">
      <w:pPr>
        <w:spacing w:after="140"/>
        <w:jc w:val="both"/>
      </w:pPr>
      <w:r>
        <w:rPr>
          <w:rFonts w:ascii="Calibri" w:hAnsi="Calibri" w:eastAsia="Calibri" w:cs="Calibri"/>
          <w:sz w:val="22"/>
          <w:szCs w:val="22"/>
        </w:rPr>
        <w:t>The two stages together produce a complete mapping without ever context-stuffing both schemas into a single prompt. That is the point of the constraint and it is met by construction, not by luck.</w:t>
      </w:r>
    </w:p>
    <w:p w14:paraId="47E6451A">
      <w:pPr>
        <w:pageBreakBefore/>
      </w:pPr>
      <w:r>
        <w:lastRenderedPageBreak/>
      </w:r>
    </w:p>
    <w:p w14:paraId="2EA2E68B">
      <w:pPr>
        <w:pStyle w:val="Heading1"/>
        <w:spacing w:before="280" w:after="140"/>
      </w:pPr>
      <w:r>
        <w:rPr>
          <w:rFonts w:ascii="Calibri" w:hAnsi="Calibri" w:eastAsia="Calibri" w:cs="Calibri"/>
          <w:b/>
          <w:bCs/>
          <w:color w:val="1F4E79"/>
          <w:sz w:val="30"/>
          <w:szCs w:val="30"/>
        </w:rPr>
        <w:t>Prompt design</w:t>
      </w:r>
    </w:p>
    <w:p w14:paraId="4200A34C">
      <w:pPr>
        <w:spacing w:after="140"/>
        <w:jc w:val="both"/>
      </w:pPr>
      <w:r>
        <w:rPr>
          <w:rFonts w:ascii="Calibri" w:hAnsi="Calibri" w:eastAsia="Calibri" w:cs="Calibri"/>
          <w:sz w:val="22"/>
          <w:szCs w:val="22"/>
        </w:rPr>
        <w:t>Both prompts are schema-constrained: the system prompt states exactly the JSON shape the LLM must return, and the caller extracts the JSON block and parses it against a Pydantic model. LLM outputs are inputs to code, not shipped directly to users.</w:t>
      </w:r>
    </w:p>
    <w:p w14:paraId="6C881754">
      <w:pPr>
        <w:pStyle w:val="Heading2"/>
        <w:spacing w:before="220" w:after="100"/>
      </w:pPr>
      <w:r>
        <w:rPr>
          <w:rFonts w:ascii="Calibri" w:hAnsi="Calibri" w:eastAsia="Calibri" w:cs="Calibri"/>
          <w:b/>
          <w:bCs/>
          <w:color w:val="2E75B6"/>
          <w:sz w:val="24"/>
          <w:szCs w:val="24"/>
        </w:rPr>
        <w:t>Stage 2 prompt: table matcher</w:t>
      </w:r>
    </w:p>
    <w:p w14:paraId="7278D18E">
      <w:pPr>
        <w:spacing w:after="140"/>
        <w:jc w:val="both"/>
      </w:pPr>
      <w:r>
        <w:rPr>
          <w:rFonts w:ascii="Calibri" w:hAnsi="Calibri" w:eastAsia="Calibri" w:cs="Calibri"/>
          <w:sz w:val="22"/>
          <w:szCs w:val="22"/>
        </w:rPr>
        <w:t>System prompt (verbatim from pipeline.py):</w:t>
      </w:r>
    </w:p>
    <w:p w14:paraId="635823C6">
      <w:pPr>
        <w:shd w:val="clear" w:fill="F5F5F5"/>
        <w:spacing w:after="0"/>
      </w:pPr>
      <w:r>
        <w:rPr>
          <w:rFonts w:ascii="Consolas" w:hAnsi="Consolas" w:eastAsia="Consolas" w:cs="Consolas"/>
          <w:sz w:val="18"/>
          <w:szCs w:val="18"/>
        </w:rPr>
        <w:t>You match tables between two database schemas. You will be given only</w:t>
      </w:r>
    </w:p>
    <w:p w14:paraId="304FBC7F">
      <w:pPr>
        <w:shd w:val="clear" w:fill="F5F5F5"/>
        <w:spacing w:after="0"/>
      </w:pPr>
      <w:r>
        <w:rPr>
          <w:rFonts w:ascii="Consolas" w:hAnsi="Consolas" w:eastAsia="Consolas" w:cs="Consolas"/>
          <w:sz w:val="18"/>
          <w:szCs w:val="18"/>
        </w:rPr>
        <w:t>table/collection NAMES and one-line purposes. You will NOT be given their</w:t>
      </w:r>
    </w:p>
    <w:p w14:paraId="5AC0D3B9">
      <w:pPr>
        <w:shd w:val="clear" w:fill="F5F5F5"/>
        <w:spacing w:after="0"/>
      </w:pPr>
      <w:r>
        <w:rPr>
          <w:rFonts w:ascii="Consolas" w:hAnsi="Consolas" w:eastAsia="Consolas" w:cs="Consolas"/>
          <w:sz w:val="18"/>
          <w:szCs w:val="18"/>
        </w:rPr>
        <w:t>field lists. Propose which source table maps to which destination collection.</w:t>
      </w:r>
    </w:p>
    <w:p w14:paraId="528DDBE8">
      <w:pPr>
        <w:shd w:val="clear" w:fill="F5F5F5"/>
        <w:spacing w:after="0"/>
      </w:pPr>
      <w:r>
        <w:rPr>
          <w:rFonts w:ascii="Consolas" w:hAnsi="Consolas" w:eastAsia="Consolas" w:cs="Consolas"/>
          <w:sz w:val="18"/>
          <w:szCs w:val="18"/>
        </w:rPr>
        <w:t xml:space="preserve"> </w:t>
      </w:r>
    </w:p>
    <w:p w14:paraId="14DD9149">
      <w:pPr>
        <w:shd w:val="clear" w:fill="F5F5F5"/>
        <w:spacing w:after="0"/>
      </w:pPr>
      <w:r>
        <w:rPr>
          <w:rFonts w:ascii="Consolas" w:hAnsi="Consolas" w:eastAsia="Consolas" w:cs="Consolas"/>
          <w:sz w:val="18"/>
          <w:szCs w:val="18"/>
        </w:rPr>
        <w:t>Return only a JSON object in this exact form:</w:t>
      </w:r>
    </w:p>
    <w:p w14:paraId="364678E7">
      <w:pPr>
        <w:shd w:val="clear" w:fill="F5F5F5"/>
        <w:spacing w:after="0"/>
      </w:pPr>
      <w:r>
        <w:rPr>
          <w:rFonts w:ascii="Consolas" w:hAnsi="Consolas" w:eastAsia="Consolas" w:cs="Consolas"/>
          <w:sz w:val="18"/>
          <w:szCs w:val="18"/>
        </w:rPr>
        <w:t>{"pairs": [</w:t>
      </w:r>
    </w:p>
    <w:p w14:paraId="43268AC2">
      <w:pPr>
        <w:shd w:val="clear" w:fill="F5F5F5"/>
        <w:spacing w:after="0"/>
      </w:pPr>
      <w:r>
        <w:rPr>
          <w:rFonts w:ascii="Consolas" w:hAnsi="Consolas" w:eastAsia="Consolas" w:cs="Consolas"/>
          <w:sz w:val="18"/>
          <w:szCs w:val="18"/>
        </w:rPr>
        <w:t xml:space="preserve">  {"source_table": "...", "destination_collection": "..." or null,</w:t>
      </w:r>
    </w:p>
    <w:p w14:paraId="3FED298D">
      <w:pPr>
        <w:shd w:val="clear" w:fill="F5F5F5"/>
        <w:spacing w:after="0"/>
      </w:pPr>
      <w:r>
        <w:rPr>
          <w:rFonts w:ascii="Consolas" w:hAnsi="Consolas" w:eastAsia="Consolas" w:cs="Consolas"/>
          <w:sz w:val="18"/>
          <w:szCs w:val="18"/>
        </w:rPr>
        <w:t xml:space="preserve">   "confidence": 0.0, "reasoning": "..."}</w:t>
      </w:r>
    </w:p>
    <w:p w14:paraId="4901DD66">
      <w:pPr>
        <w:shd w:val="clear" w:fill="F5F5F5"/>
        <w:spacing w:after="0"/>
      </w:pPr>
      <w:r>
        <w:rPr>
          <w:rFonts w:ascii="Consolas" w:hAnsi="Consolas" w:eastAsia="Consolas" w:cs="Consolas"/>
          <w:sz w:val="18"/>
          <w:szCs w:val="18"/>
        </w:rPr>
        <w:t>]}</w:t>
      </w:r>
    </w:p>
    <w:p w14:paraId="2684FBA0">
      <w:pPr>
        <w:shd w:val="clear" w:fill="F5F5F5"/>
        <w:spacing w:after="0"/>
      </w:pPr>
      <w:r>
        <w:rPr>
          <w:rFonts w:ascii="Consolas" w:hAnsi="Consolas" w:eastAsia="Consolas" w:cs="Consolas"/>
          <w:sz w:val="18"/>
          <w:szCs w:val="18"/>
        </w:rPr>
        <w:t xml:space="preserve"> </w:t>
      </w:r>
    </w:p>
    <w:p w14:paraId="4AC92E14">
      <w:pPr>
        <w:shd w:val="clear" w:fill="F5F5F5"/>
        <w:spacing w:after="0"/>
      </w:pPr>
      <w:r>
        <w:rPr>
          <w:rFonts w:ascii="Consolas" w:hAnsi="Consolas" w:eastAsia="Consolas" w:cs="Consolas"/>
          <w:sz w:val="18"/>
          <w:szCs w:val="18"/>
        </w:rPr>
        <w:t>Every source table must appear. If no destination collection matches a</w:t>
      </w:r>
    </w:p>
    <w:p w14:paraId="0DEF35CE">
      <w:pPr>
        <w:shd w:val="clear" w:fill="F5F5F5"/>
        <w:spacing w:after="0"/>
      </w:pPr>
      <w:r>
        <w:rPr>
          <w:rFonts w:ascii="Consolas" w:hAnsi="Consolas" w:eastAsia="Consolas" w:cs="Consolas"/>
          <w:sz w:val="18"/>
          <w:szCs w:val="18"/>
        </w:rPr>
        <w:t>source table, set destination_collection to null. Confidence is 0.0 to 1.0.</w:t>
      </w:r>
    </w:p>
    <w:p w14:paraId="47CF8508">
      <w:pPr>
        <w:shd w:val="clear" w:fill="F5F5F5"/>
        <w:spacing w:after="0"/>
      </w:pPr>
      <w:r>
        <w:rPr>
          <w:rFonts w:ascii="Consolas" w:hAnsi="Consolas" w:eastAsia="Consolas" w:cs="Consolas"/>
          <w:sz w:val="18"/>
          <w:szCs w:val="18"/>
        </w:rPr>
        <w:t>Reasoning is one sentence.</w:t>
      </w:r>
    </w:p>
    <w:p w14:paraId="7E2D1657">
      <w:pPr>
        <w:spacing w:after="140"/>
        <w:jc w:val="both"/>
      </w:pPr>
      <w:r>
        <w:rPr>
          <w:rFonts w:ascii="Calibri" w:hAnsi="Calibri" w:eastAsia="Calibri" w:cs="Calibri"/>
          <w:sz w:val="22"/>
          <w:szCs w:val="22"/>
        </w:rPr>
        <w:t>Design decisions for this prompt. First, it is short. Long system prompts waste tokens and dilute the instruction. Second, it names the constraint ("You will NOT be given their field lists") explicitly so the LLM does not hallucinate field-level reasoning it does not have evidence for. Third, it forces the LLM to include every source table so we never silently drop one. Fourth, allowing destination_collection to be null preserves honest uncertainty rather than forcing a wrong match.</w:t>
      </w:r>
    </w:p>
    <w:p w14:paraId="3D1292EA">
      <w:pPr>
        <w:pStyle w:val="Heading2"/>
        <w:spacing w:before="220" w:after="100"/>
      </w:pPr>
      <w:r>
        <w:rPr>
          <w:rFonts w:ascii="Calibri" w:hAnsi="Calibri" w:eastAsia="Calibri" w:cs="Calibri"/>
          <w:b/>
          <w:bCs/>
          <w:color w:val="2E75B6"/>
          <w:sz w:val="24"/>
          <w:szCs w:val="24"/>
        </w:rPr>
        <w:t>Stage 3 prompt: field mapper</w:t>
      </w:r>
    </w:p>
    <w:p w14:paraId="11ED9D56">
      <w:pPr>
        <w:spacing w:after="140"/>
        <w:jc w:val="both"/>
      </w:pPr>
      <w:r>
        <w:rPr>
          <w:rFonts w:ascii="Calibri" w:hAnsi="Calibri" w:eastAsia="Calibri" w:cs="Calibri"/>
          <w:sz w:val="22"/>
          <w:szCs w:val="22"/>
        </w:rPr>
        <w:t>The full system prompt is in pipeline.py under FIELD_MAP_SYSTEM. Key elements:</w:t>
      </w:r>
    </w:p>
    <w:p w14:paraId="5539AEA6">
      <w:pPr>
        <w:pStyle w:val="ListParagraph"/>
        <w:numPr>
          <w:ilvl w:val="0"/>
          <w:numId w:val="2"/>
        </w:numPr>
        <w:spacing w:after="60"/>
        <w:ind w:left="540" w:hanging="270"/>
      </w:pPr>
      <w:r>
        <w:rPr>
          <w:rFonts w:ascii="Calibri" w:hAnsi="Calibri" w:eastAsia="Calibri" w:cs="Calibri"/>
          <w:b/>
          <w:bCs/>
          <w:sz w:val="22"/>
          <w:szCs w:val="22"/>
        </w:rPr>
        <w:t xml:space="preserve">Scope restriction. </w:t>
      </w:r>
      <w:r>
        <w:rPr>
          <w:rFonts w:ascii="Calibri" w:hAnsi="Calibri" w:eastAsia="Calibri" w:cs="Calibri"/>
          <w:sz w:val="22"/>
          <w:szCs w:val="22"/>
        </w:rPr>
        <w:t>The prompt states "You will NOT be given any other tables or collections." This mirrors the constraint at the field level. If the LLM tries to reason about relationships outside the current pair, that reasoning is not grounded.</w:t>
      </w:r>
    </w:p>
    <w:p w14:paraId="20A3ACBD">
      <w:pPr>
        <w:pStyle w:val="ListParagraph"/>
        <w:numPr>
          <w:ilvl w:val="0"/>
          <w:numId w:val="2"/>
        </w:numPr>
        <w:spacing w:after="60"/>
        <w:ind w:left="540" w:hanging="270"/>
      </w:pPr>
      <w:r>
        <w:rPr>
          <w:rFonts w:ascii="Calibri" w:hAnsi="Calibri" w:eastAsia="Calibri" w:cs="Calibri"/>
          <w:b/>
          <w:bCs/>
          <w:sz w:val="22"/>
          <w:szCs w:val="22"/>
        </w:rPr>
        <w:t xml:space="preserve">Type transformation crib sheet. </w:t>
      </w:r>
      <w:r>
        <w:rPr>
          <w:rFonts w:ascii="Calibri" w:hAnsi="Calibri" w:eastAsia="Calibri" w:cs="Calibri"/>
          <w:sz w:val="22"/>
          <w:szCs w:val="22"/>
        </w:rPr>
        <w:t>The prompt lists the common MySQL to MongoDB type transformations (TINYINT(1) to Boolean, INT PK to ObjectId, DECIMAL to Number, CHAR(1) enum codes to String enum with a value transform). This shortens the LLM's reasoning path and keeps type transforms consistent across calls.</w:t>
      </w:r>
    </w:p>
    <w:p w14:paraId="075B3F77">
      <w:pPr>
        <w:pStyle w:val="ListParagraph"/>
        <w:numPr>
          <w:ilvl w:val="0"/>
          <w:numId w:val="2"/>
        </w:numPr>
        <w:spacing w:after="60"/>
        <w:ind w:left="540" w:hanging="270"/>
      </w:pPr>
      <w:r>
        <w:rPr>
          <w:rFonts w:ascii="Calibri" w:hAnsi="Calibri" w:eastAsia="Calibri" w:cs="Calibri"/>
          <w:b/>
          <w:bCs/>
          <w:sz w:val="22"/>
          <w:szCs w:val="22"/>
        </w:rPr>
        <w:t xml:space="preserve">Confidence calibration guidance. </w:t>
      </w:r>
      <w:r>
        <w:rPr>
          <w:rFonts w:ascii="Calibri" w:hAnsi="Calibri" w:eastAsia="Calibri" w:cs="Calibri"/>
          <w:sz w:val="22"/>
          <w:szCs w:val="22"/>
        </w:rPr>
        <w:t>The prompt includes an explicit calibration section (shown below) with four bands and concrete criteria for each. Without this guidance, LLMs tend to default to uniform 1.0 across all mappings, which makes downstream review-routing impossible.</w:t>
      </w:r>
    </w:p>
    <w:p w14:paraId="550927DC">
      <w:pPr>
        <w:pStyle w:val="ListParagraph"/>
        <w:numPr>
          <w:ilvl w:val="0"/>
          <w:numId w:val="2"/>
        </w:numPr>
        <w:spacing w:after="60"/>
        <w:ind w:left="540" w:hanging="270"/>
      </w:pPr>
      <w:r>
        <w:rPr>
          <w:rFonts w:ascii="Calibri" w:hAnsi="Calibri" w:eastAsia="Calibri" w:cs="Calibri"/>
          <w:b/>
          <w:bCs/>
          <w:sz w:val="22"/>
          <w:szCs w:val="22"/>
        </w:rPr>
        <w:t xml:space="preserve">Completeness requirement. </w:t>
      </w:r>
      <w:r>
        <w:rPr>
          <w:rFonts w:ascii="Calibri" w:hAnsi="Calibri" w:eastAsia="Calibri" w:cs="Calibri"/>
          <w:sz w:val="22"/>
          <w:szCs w:val="22"/>
        </w:rPr>
        <w:t>"Every source field MUST appear as an item in field_mappings." Unmapped fields are represented with destination_field: null rather than being silently omitted. This is checked deterministically in stage 4b.</w:t>
      </w:r>
    </w:p>
    <w:p w14:paraId="336FACEB">
      <w:pPr>
        <w:pStyle w:val="ListParagraph"/>
        <w:numPr>
          <w:ilvl w:val="0"/>
          <w:numId w:val="2"/>
        </w:numPr>
        <w:spacing w:after="60"/>
        <w:ind w:left="540" w:hanging="270"/>
      </w:pPr>
      <w:r>
        <w:rPr>
          <w:rFonts w:ascii="Calibri" w:hAnsi="Calibri" w:eastAsia="Calibri" w:cs="Calibri"/>
          <w:b/>
          <w:bCs/>
          <w:sz w:val="22"/>
          <w:szCs w:val="22"/>
        </w:rPr>
        <w:t xml:space="preserve">Explicit output shape. </w:t>
      </w:r>
      <w:r>
        <w:rPr>
          <w:rFonts w:ascii="Calibri" w:hAnsi="Calibri" w:eastAsia="Calibri" w:cs="Calibri"/>
          <w:sz w:val="22"/>
          <w:szCs w:val="22"/>
        </w:rPr>
        <w:t>The prompt reproduces the required JSON shape exactly. Pydantic then validates the parsed output against FieldMapping and TableMapping models before assembly.</w:t>
      </w:r>
    </w:p>
    <w:p w14:paraId="1B757195">
      <w:pPr>
        <w:pStyle w:val="ListParagraph"/>
        <w:numPr>
          <w:ilvl w:val="0"/>
          <w:numId w:val="2"/>
        </w:numPr>
        <w:spacing w:after="60"/>
        <w:ind w:left="540" w:hanging="270"/>
      </w:pPr>
      <w:r>
        <w:rPr>
          <w:rFonts w:ascii="Calibri" w:hAnsi="Calibri" w:eastAsia="Calibri" w:cs="Calibri"/>
          <w:b/>
          <w:bCs/>
          <w:sz w:val="22"/>
          <w:szCs w:val="22"/>
        </w:rPr>
        <w:t xml:space="preserve">Unmapped destination fields as a separate list. </w:t>
      </w:r>
      <w:r>
        <w:rPr>
          <w:rFonts w:ascii="Calibri" w:hAnsi="Calibri" w:eastAsia="Calibri" w:cs="Calibri"/>
          <w:sz w:val="22"/>
          <w:szCs w:val="22"/>
        </w:rPr>
        <w:t>For fields on the destination that are not filled by this source table (they will be filled later by joining another table), the prompt asks the LLM to list them under unmapped_destination_fields. This makes the migration plan complete: every destination path is either mapped or explicitly noted as filled elsewhere.</w:t>
      </w:r>
    </w:p>
    <w:p w14:paraId="34A89E94">
      <w:pPr>
        <w:pStyle w:val="Heading3"/>
        <w:spacing w:before="180" w:after="80"/>
      </w:pPr>
      <w:r>
        <w:rPr>
          <w:rFonts w:ascii="Calibri" w:hAnsi="Calibri" w:eastAsia="Calibri" w:cs="Calibri"/>
          <w:b/>
          <w:bCs/>
          <w:color w:val="2E75B6"/>
          <w:sz w:val="22"/>
          <w:szCs w:val="22"/>
        </w:rPr>
        <w:t>Confidence calibration section (verbatim from FIELD_MAP_SYSTEM)</w:t>
      </w:r>
    </w:p>
    <w:p w14:paraId="4CBEB766">
      <w:pPr>
        <w:shd w:val="clear" w:fill="F5F5F5"/>
        <w:spacing w:after="0"/>
      </w:pPr>
      <w:r>
        <w:rPr>
          <w:rFonts w:ascii="Consolas" w:hAnsi="Consolas" w:eastAsia="Consolas" w:cs="Consolas"/>
          <w:sz w:val="18"/>
          <w:szCs w:val="18"/>
        </w:rPr>
        <w:t>Confidence calibration (this matters):</w:t>
      </w:r>
    </w:p>
    <w:p w14:paraId="7ED5EB0C">
      <w:pPr>
        <w:shd w:val="clear" w:fill="F5F5F5"/>
        <w:spacing w:after="0"/>
      </w:pPr>
      <w:r>
        <w:rPr>
          <w:rFonts w:ascii="Consolas" w:hAnsi="Consolas" w:eastAsia="Consolas" w:cs="Consolas"/>
          <w:sz w:val="18"/>
          <w:szCs w:val="18"/>
        </w:rPr>
        <w:t>- Reserve 1.0 for mappings you would stake your reputation on. In practice,</w:t>
      </w:r>
    </w:p>
    <w:p w14:paraId="15288F35">
      <w:pPr>
        <w:shd w:val="clear" w:fill="F5F5F5"/>
        <w:spacing w:after="0"/>
      </w:pPr>
      <w:r>
        <w:rPr>
          <w:rFonts w:ascii="Consolas" w:hAnsi="Consolas" w:eastAsia="Consolas" w:cs="Consolas"/>
          <w:sz w:val="18"/>
          <w:szCs w:val="18"/>
        </w:rPr>
        <w:t xml:space="preserve">  mappings that require a type transform, a value transform, an FK</w:t>
      </w:r>
    </w:p>
    <w:p w14:paraId="4F21E2B2">
      <w:pPr>
        <w:shd w:val="clear" w:fill="F5F5F5"/>
        <w:spacing w:after="0"/>
      </w:pPr>
      <w:r>
        <w:rPr>
          <w:rFonts w:ascii="Consolas" w:hAnsi="Consolas" w:eastAsia="Consolas" w:cs="Consolas"/>
          <w:sz w:val="18"/>
          <w:szCs w:val="18"/>
        </w:rPr>
        <w:t xml:space="preserve">  translation, or an ID generation strategy should NOT be 1.0. Something</w:t>
      </w:r>
    </w:p>
    <w:p w14:paraId="78F74D7D">
      <w:pPr>
        <w:shd w:val="clear" w:fill="F5F5F5"/>
        <w:spacing w:after="0"/>
      </w:pPr>
      <w:r>
        <w:rPr>
          <w:rFonts w:ascii="Consolas" w:hAnsi="Consolas" w:eastAsia="Consolas" w:cs="Consolas"/>
          <w:sz w:val="18"/>
          <w:szCs w:val="18"/>
        </w:rPr>
        <w:t xml:space="preserve">  can still go wrong operationally even when the mapping is obviously right.</w:t>
      </w:r>
    </w:p>
    <w:p w14:paraId="55524144">
      <w:pPr>
        <w:shd w:val="clear" w:fill="F5F5F5"/>
        <w:spacing w:after="0"/>
      </w:pPr>
      <w:r>
        <w:rPr>
          <w:rFonts w:ascii="Consolas" w:hAnsi="Consolas" w:eastAsia="Consolas" w:cs="Consolas"/>
          <w:sz w:val="18"/>
          <w:szCs w:val="18"/>
        </w:rPr>
        <w:t>- Use 0.95 to 0.99 for high-confidence mappings with mechanical transforms</w:t>
      </w:r>
    </w:p>
    <w:p w14:paraId="3371798D">
      <w:pPr>
        <w:shd w:val="clear" w:fill="F5F5F5"/>
        <w:spacing w:after="0"/>
      </w:pPr>
      <w:r>
        <w:rPr>
          <w:rFonts w:ascii="Consolas" w:hAnsi="Consolas" w:eastAsia="Consolas" w:cs="Consolas"/>
          <w:sz w:val="18"/>
          <w:szCs w:val="18"/>
        </w:rPr>
        <w:t xml:space="preserve">  (INT PK -&gt; ObjectId, TINYINT(1) -&gt; Boolean, VARCHAR -&gt; String, ISO code</w:t>
      </w:r>
    </w:p>
    <w:p w14:paraId="2226B687">
      <w:pPr>
        <w:shd w:val="clear" w:fill="F5F5F5"/>
        <w:spacing w:after="0"/>
      </w:pPr>
      <w:r>
        <w:rPr>
          <w:rFonts w:ascii="Consolas" w:hAnsi="Consolas" w:eastAsia="Consolas" w:cs="Consolas"/>
          <w:sz w:val="18"/>
          <w:szCs w:val="18"/>
        </w:rPr>
        <w:t xml:space="preserve">  fields with matching standards on both sides).</w:t>
      </w:r>
    </w:p>
    <w:p w14:paraId="48630AD4">
      <w:pPr>
        <w:shd w:val="clear" w:fill="F5F5F5"/>
        <w:spacing w:after="0"/>
      </w:pPr>
      <w:r>
        <w:rPr>
          <w:rFonts w:ascii="Consolas" w:hAnsi="Consolas" w:eastAsia="Consolas" w:cs="Consolas"/>
          <w:sz w:val="18"/>
          <w:szCs w:val="18"/>
        </w:rPr>
        <w:t>- Use 0.85 to 0.94 for mappings that involve semantic judgment (a source</w:t>
      </w:r>
    </w:p>
    <w:p w14:paraId="36A0149E">
      <w:pPr>
        <w:shd w:val="clear" w:fill="F5F5F5"/>
        <w:spacing w:after="0"/>
      </w:pPr>
      <w:r>
        <w:rPr>
          <w:rFonts w:ascii="Consolas" w:hAnsi="Consolas" w:eastAsia="Consolas" w:cs="Consolas"/>
          <w:sz w:val="18"/>
          <w:szCs w:val="18"/>
        </w:rPr>
        <w:t xml:space="preserve">  field matched to one of several plausible destinations, enum-code to</w:t>
      </w:r>
    </w:p>
    <w:p w14:paraId="16793C8F">
      <w:pPr>
        <w:shd w:val="clear" w:fill="F5F5F5"/>
        <w:spacing w:after="0"/>
      </w:pPr>
      <w:r>
        <w:rPr>
          <w:rFonts w:ascii="Consolas" w:hAnsi="Consolas" w:eastAsia="Consolas" w:cs="Consolas"/>
          <w:sz w:val="18"/>
          <w:szCs w:val="18"/>
        </w:rPr>
        <w:t xml:space="preserve">  String enum with a value transform, or a name-based match where the</w:t>
      </w:r>
    </w:p>
    <w:p w14:paraId="41EE2EC3">
      <w:pPr>
        <w:shd w:val="clear" w:fill="F5F5F5"/>
        <w:spacing w:after="0"/>
      </w:pPr>
      <w:r>
        <w:rPr>
          <w:rFonts w:ascii="Consolas" w:hAnsi="Consolas" w:eastAsia="Consolas" w:cs="Consolas"/>
          <w:sz w:val="18"/>
          <w:szCs w:val="18"/>
        </w:rPr>
        <w:t xml:space="preserve">  underlying semantics are inferred rather than declared).</w:t>
      </w:r>
    </w:p>
    <w:p w14:paraId="5043D9B6">
      <w:pPr>
        <w:shd w:val="clear" w:fill="F5F5F5"/>
        <w:spacing w:after="0"/>
      </w:pPr>
      <w:r>
        <w:rPr>
          <w:rFonts w:ascii="Consolas" w:hAnsi="Consolas" w:eastAsia="Consolas" w:cs="Consolas"/>
          <w:sz w:val="18"/>
          <w:szCs w:val="18"/>
        </w:rPr>
        <w:t>- Use below 0.85 when there is genuine uncertainty (ambiguous label</w:t>
      </w:r>
    </w:p>
    <w:p w14:paraId="4FCF067A">
      <w:pPr>
        <w:shd w:val="clear" w:fill="F5F5F5"/>
        <w:spacing w:after="0"/>
      </w:pPr>
      <w:r>
        <w:rPr>
          <w:rFonts w:ascii="Consolas" w:hAnsi="Consolas" w:eastAsia="Consolas" w:cs="Consolas"/>
          <w:sz w:val="18"/>
          <w:szCs w:val="18"/>
        </w:rPr>
        <w:t xml:space="preserve">  matches, multiple plausible destinations, or missing metadata).</w:t>
      </w:r>
    </w:p>
    <w:p w14:paraId="1925620C">
      <w:pPr>
        <w:shd w:val="clear" w:fill="F5F5F5"/>
        <w:spacing w:after="0"/>
      </w:pPr>
      <w:r>
        <w:rPr>
          <w:rFonts w:ascii="Consolas" w:hAnsi="Consolas" w:eastAsia="Consolas" w:cs="Consolas"/>
          <w:sz w:val="18"/>
          <w:szCs w:val="18"/>
        </w:rPr>
        <w:t>- Do NOT default to 1.0 across every field. Downstream systems use</w:t>
      </w:r>
    </w:p>
    <w:p w14:paraId="3528E7E8">
      <w:pPr>
        <w:shd w:val="clear" w:fill="F5F5F5"/>
        <w:spacing w:after="0"/>
      </w:pPr>
      <w:r>
        <w:rPr>
          <w:rFonts w:ascii="Consolas" w:hAnsi="Consolas" w:eastAsia="Consolas" w:cs="Consolas"/>
          <w:sz w:val="18"/>
          <w:szCs w:val="18"/>
        </w:rPr>
        <w:t xml:space="preserve">  confidence to route mappings to human review; a uniform 1.0 makes that</w:t>
      </w:r>
    </w:p>
    <w:p w14:paraId="0EE9F7E6">
      <w:pPr>
        <w:shd w:val="clear" w:fill="F5F5F5"/>
        <w:spacing w:after="0"/>
      </w:pPr>
      <w:r>
        <w:rPr>
          <w:rFonts w:ascii="Consolas" w:hAnsi="Consolas" w:eastAsia="Consolas" w:cs="Consolas"/>
          <w:sz w:val="18"/>
          <w:szCs w:val="18"/>
        </w:rPr>
        <w:t xml:space="preserve">  routing impossible and defeats the point of surfacing confidence at all.</w:t>
      </w:r>
    </w:p>
    <w:p w14:paraId="140C084C">
      <w:pPr>
        <w:shd w:val="clear" w:fill="F5F5F5"/>
        <w:spacing w:after="0"/>
      </w:pPr>
      <w:r>
        <w:rPr>
          <w:rFonts w:ascii="Consolas" w:hAnsi="Consolas" w:eastAsia="Consolas" w:cs="Consolas"/>
          <w:sz w:val="18"/>
          <w:szCs w:val="18"/>
        </w:rPr>
        <w:t>- If you catch yourself about to write 1.0 more than three times in a</w:t>
      </w:r>
    </w:p>
    <w:p w14:paraId="4B23BA63">
      <w:pPr>
        <w:shd w:val="clear" w:fill="F5F5F5"/>
        <w:spacing w:after="0"/>
      </w:pPr>
      <w:r>
        <w:rPr>
          <w:rFonts w:ascii="Consolas" w:hAnsi="Consolas" w:eastAsia="Consolas" w:cs="Consolas"/>
          <w:sz w:val="18"/>
          <w:szCs w:val="18"/>
        </w:rPr>
        <w:t xml:space="preserve">  single table pair, stop and re-rank: some of those are almost certainly</w:t>
      </w:r>
    </w:p>
    <w:p w14:paraId="0F51FA22">
      <w:pPr>
        <w:shd w:val="clear" w:fill="F5F5F5"/>
        <w:spacing w:after="0"/>
      </w:pPr>
      <w:r>
        <w:rPr>
          <w:rFonts w:ascii="Consolas" w:hAnsi="Consolas" w:eastAsia="Consolas" w:cs="Consolas"/>
          <w:sz w:val="18"/>
          <w:szCs w:val="18"/>
        </w:rPr>
        <w:t xml:space="preserve">  in the 0.95 to 0.99 band, not at the ceiling.</w:t>
      </w:r>
    </w:p>
    <w:p w14:paraId="2C1DC02F">
      <w:pPr>
        <w:spacing w:after="140"/>
        <w:jc w:val="both"/>
      </w:pPr>
      <w:r>
        <w:rPr>
          <w:rFonts w:ascii="Calibri" w:hAnsi="Calibri" w:eastAsia="Calibri" w:cs="Calibri"/>
          <w:sz w:val="22"/>
          <w:szCs w:val="22"/>
        </w:rPr>
        <w:t>The reasoning behind explicit calibration guidance. When I validated pipeline output against a hand-produced mapping of the same schemas, the pipeline pinned nearly every field-mapping confidence at 1.0 while the hand-produced version used a spread from 0.90 through 0.99. Uniform 1.0 is a known failure mode for uncalibrated LLM prompts. The prompt does not fix the underlying calibration problem, but it does move the LLM's output distribution closer to what downstream review systems actually need: a signal, not a decoration.</w:t>
      </w:r>
    </w:p>
    <w:p w14:paraId="77111F93">
      <w:pPr>
        <w:pageBreakBefore/>
      </w:pPr>
      <w:r>
        <w:lastRenderedPageBreak/>
      </w:r>
    </w:p>
    <w:p w14:paraId="5C182C1C">
      <w:pPr>
        <w:pStyle w:val="Heading1"/>
        <w:spacing w:before="280" w:after="140"/>
      </w:pPr>
      <w:r>
        <w:rPr>
          <w:rFonts w:ascii="Calibri" w:hAnsi="Calibri" w:eastAsia="Calibri" w:cs="Calibri"/>
          <w:b/>
          <w:bCs/>
          <w:color w:val="1F4E79"/>
          <w:sz w:val="30"/>
          <w:szCs w:val="30"/>
        </w:rPr>
        <w:t>Design decisions</w:t>
      </w:r>
    </w:p>
    <w:p w14:paraId="4E64745C">
      <w:pPr>
        <w:pStyle w:val="Heading2"/>
        <w:spacing w:before="220" w:after="100"/>
      </w:pPr>
      <w:r>
        <w:rPr>
          <w:rFonts w:ascii="Calibri" w:hAnsi="Calibri" w:eastAsia="Calibri" w:cs="Calibri"/>
          <w:b/>
          <w:bCs/>
          <w:color w:val="2E75B6"/>
          <w:sz w:val="24"/>
          <w:szCs w:val="24"/>
        </w:rPr>
        <w:t>Deterministic stages sandwich LLM stages</w:t>
      </w:r>
    </w:p>
    <w:p w14:paraId="4E479887">
      <w:pPr>
        <w:spacing w:after="140"/>
        <w:jc w:val="both"/>
      </w:pPr>
      <w:r>
        <w:rPr>
          <w:rFonts w:ascii="Calibri" w:hAnsi="Calibri" w:eastAsia="Calibri" w:cs="Calibri"/>
          <w:sz w:val="22"/>
          <w:szCs w:val="22"/>
        </w:rPr>
        <w:t>Schema parsing (stage 1) and enrichment-plus-verification (stages 4a and 4b) are deterministic. Only the two middle stages call the LLM. This layout has three benefits. First, deterministic stages are cheap and reproducible: the same schema always parses to the same intermediate representation. Second, the LLM's outputs pass through typed Pydantic contracts on both sides, so structural errors surface immediately rather than downstream. Third, if an LLM call fails or returns a malformed response, only that stage retries; the parser output and the completed mappings from other pairs are still valid.</w:t>
      </w:r>
    </w:p>
    <w:p w14:paraId="3D239F7B">
      <w:pPr>
        <w:pStyle w:val="Heading2"/>
        <w:spacing w:before="220" w:after="100"/>
      </w:pPr>
      <w:r>
        <w:rPr>
          <w:rFonts w:ascii="Calibri" w:hAnsi="Calibri" w:eastAsia="Calibri" w:cs="Calibri"/>
          <w:b/>
          <w:bCs/>
          <w:color w:val="2E75B6"/>
          <w:sz w:val="24"/>
          <w:szCs w:val="24"/>
        </w:rPr>
        <w:t>Deterministic enrichment before verification</w:t>
      </w:r>
    </w:p>
    <w:p w14:paraId="02C07BD8">
      <w:pPr>
        <w:spacing w:after="140"/>
        <w:jc w:val="both"/>
      </w:pPr>
      <w:r>
        <w:rPr>
          <w:rFonts w:ascii="Calibri" w:hAnsi="Calibri" w:eastAsia="Calibri" w:cs="Calibri"/>
          <w:sz w:val="22"/>
          <w:szCs w:val="22"/>
        </w:rPr>
        <w:t>LLM outputs are semantically strong but operationally patchy. The LLM will sometimes remember that a UNIQUE constraint in MySQL needs a corresponding unique index in MongoDB, and sometimes not. Prompting harder is not the right fix: rules that can be inspected mechanically from the parsed source schema belong in deterministic code, where they are cheap, testable, and consistent across runs.</w:t>
      </w:r>
    </w:p>
    <w:p w14:paraId="2147D3B7">
      <w:pPr>
        <w:spacing w:after="140"/>
        <w:jc w:val="both"/>
      </w:pPr>
      <w:r>
        <w:rPr>
          <w:rFonts w:ascii="Calibri" w:hAnsi="Calibri" w:eastAsia="Calibri" w:cs="Calibri"/>
          <w:sz w:val="22"/>
          <w:szCs w:val="22"/>
        </w:rPr>
        <w:t>Stage 4a is where those rules live. Currently one rule (UNIQUE constraint preservation), with docstring pointers to the next rules to add (NOT NULL preservation, CHECK constraints as MongoDB $jsonSchema validators, DEFAULT values, CHAR-length limits). The pattern is: add rules here as they emerge from real migrations, not to the prompt.</w:t>
      </w:r>
    </w:p>
    <w:p w14:paraId="0A76E128">
      <w:pPr>
        <w:pStyle w:val="Heading2"/>
        <w:spacing w:before="220" w:after="100"/>
      </w:pPr>
      <w:r>
        <w:rPr>
          <w:rFonts w:ascii="Calibri" w:hAnsi="Calibri" w:eastAsia="Calibri" w:cs="Calibri"/>
          <w:b/>
          <w:bCs/>
          <w:color w:val="2E75B6"/>
          <w:sz w:val="24"/>
          <w:szCs w:val="24"/>
        </w:rPr>
        <w:t>Nested path flattening at ingestion, not at query time</w:t>
      </w:r>
    </w:p>
    <w:p w14:paraId="50FED50F">
      <w:pPr>
        <w:spacing w:after="140"/>
        <w:jc w:val="both"/>
      </w:pPr>
      <w:r>
        <w:rPr>
          <w:rFonts w:ascii="Calibri" w:hAnsi="Calibri" w:eastAsia="Calibri" w:cs="Calibri"/>
          <w:sz w:val="22"/>
          <w:szCs w:val="22"/>
        </w:rPr>
        <w:t>MongoDB documents have nested sub-documents. Rather than teaching the LLM about the nested structure through prose in every prompt, I flatten the destination schema into dot-notation paths at parse time (fullName.firstName, employment.startDate, meta.createdAt). The LLM sees the destination as a flat list of paths, which is easier to reason over and closer to the required output format for destination_field.</w:t>
      </w:r>
    </w:p>
    <w:p w14:paraId="12962C67">
      <w:pPr>
        <w:pStyle w:val="Heading2"/>
        <w:spacing w:before="220" w:after="100"/>
      </w:pPr>
      <w:r>
        <w:rPr>
          <w:rFonts w:ascii="Calibri" w:hAnsi="Calibri" w:eastAsia="Calibri" w:cs="Calibri"/>
          <w:b/>
          <w:bCs/>
          <w:color w:val="2E75B6"/>
          <w:sz w:val="24"/>
          <w:szCs w:val="24"/>
        </w:rPr>
        <w:t>Confidence at two levels</w:t>
      </w:r>
    </w:p>
    <w:p w14:paraId="6F38A559">
      <w:pPr>
        <w:spacing w:after="140"/>
        <w:jc w:val="both"/>
      </w:pPr>
      <w:r>
        <w:rPr>
          <w:rFonts w:ascii="Calibri" w:hAnsi="Calibri" w:eastAsia="Calibri" w:cs="Calibri"/>
          <w:sz w:val="22"/>
          <w:szCs w:val="22"/>
        </w:rPr>
        <w:t>The output has confidence at the table-pair level and at the field-mapping level. These serve different consumers. Table-pair confidence tells a reviewer which pairs need human sign-off before running the migration. Field-mapping confidence tells the migration script which fields to include in an automated migration run and which to route to human review. Separating the two lets downstream systems make decisions at the appropriate grain. The calibration guidance in the prompt ensures both signals are actually informative rather than uniformly maximum.</w:t>
      </w:r>
    </w:p>
    <w:p w14:paraId="3307064D">
      <w:pPr>
        <w:pStyle w:val="Heading2"/>
        <w:spacing w:before="220" w:after="100"/>
      </w:pPr>
      <w:r>
        <w:rPr>
          <w:rFonts w:ascii="Calibri" w:hAnsi="Calibri" w:eastAsia="Calibri" w:cs="Calibri"/>
          <w:b/>
          <w:bCs/>
          <w:color w:val="2E75B6"/>
          <w:sz w:val="24"/>
          <w:szCs w:val="24"/>
        </w:rPr>
        <w:t>Unmapped fields are first-class</w:t>
      </w:r>
    </w:p>
    <w:p w14:paraId="608016F9">
      <w:pPr>
        <w:spacing w:after="140"/>
        <w:jc w:val="both"/>
      </w:pPr>
      <w:r>
        <w:rPr>
          <w:rFonts w:ascii="Calibri" w:hAnsi="Calibri" w:eastAsia="Calibri" w:cs="Calibri"/>
          <w:sz w:val="22"/>
          <w:szCs w:val="22"/>
        </w:rPr>
        <w:t>The output includes unmapped_source_fields and unmapped_destination_fields per table. Unmapped source fields mean data that will be dropped by the migration unless a decision is made (in this schema, emp_master.dob is such a case: it has no destination and the reasoning field flags it for product owner review). Unmapped destination fields mean paths that must be populated by joining other source tables (in this schema, employees.department.code and employees.location.city are examples: they come from joining dept_info and locations during migration). Making both explicit prevents surprises during actual migration execution.</w:t>
      </w:r>
    </w:p>
    <w:p w14:paraId="7AEBC0EA">
      <w:pPr>
        <w:pStyle w:val="Heading2"/>
        <w:spacing w:before="220" w:after="100"/>
      </w:pPr>
      <w:r>
        <w:rPr>
          <w:rFonts w:ascii="Calibri" w:hAnsi="Calibri" w:eastAsia="Calibri" w:cs="Calibri"/>
          <w:b/>
          <w:bCs/>
          <w:color w:val="2E75B6"/>
          <w:sz w:val="24"/>
          <w:szCs w:val="24"/>
        </w:rPr>
        <w:t>Value transformations captured in notes</w:t>
      </w:r>
    </w:p>
    <w:p w14:paraId="42832BCF">
      <w:pPr>
        <w:spacing w:after="140"/>
        <w:jc w:val="both"/>
      </w:pPr>
      <w:r>
        <w:rPr>
          <w:rFonts w:ascii="Calibri" w:hAnsi="Calibri" w:eastAsia="Calibri" w:cs="Calibri"/>
          <w:sz w:val="22"/>
          <w:szCs w:val="22"/>
        </w:rPr>
        <w:t>The output separates type_transform (a schema-level statement like TINYINT(1) to Boolean) from notes (which carry the value-level transformation logic: 0 to false, 1 to true; A to active, I to inactive, T to terminated). A migration engineer reading this document can implement each transformation without going back to the LLM. Stage 4a appends additional operational notes (unique-index reminders) to the same notes field so all operational guidance lives in one place per field.</w:t>
      </w:r>
    </w:p>
    <w:p w14:paraId="55B608EB">
      <w:pPr>
        <w:pStyle w:val="Heading2"/>
        <w:spacing w:before="220" w:after="100"/>
      </w:pPr>
      <w:r>
        <w:rPr>
          <w:rFonts w:ascii="Calibri" w:hAnsi="Calibri" w:eastAsia="Calibri" w:cs="Calibri"/>
          <w:b/>
          <w:bCs/>
          <w:color w:val="2E75B6"/>
          <w:sz w:val="24"/>
          <w:szCs w:val="24"/>
        </w:rPr>
        <w:t>Foreign key translation is a two-pass problem</w:t>
      </w:r>
    </w:p>
    <w:p w14:paraId="1BEA06F1">
      <w:pPr>
        <w:spacing w:after="140"/>
        <w:jc w:val="both"/>
      </w:pPr>
      <w:r>
        <w:rPr>
          <w:rFonts w:ascii="Calibri" w:hAnsi="Calibri" w:eastAsia="Calibri" w:cs="Calibri"/>
          <w:sz w:val="22"/>
          <w:szCs w:val="22"/>
        </w:rPr>
        <w:t>MySQL foreign keys reference integer primary keys. MongoDB references use ObjectId. That means every FK translation requires an ID mapping table built during the referenced table's migration. The output explicitly names this in notes for every FK field (dept_id, mgr_emp_id, office_loc_id, parent_dept_id, dept_head_id) so the migration order is unambiguous: migrate the referenced tables first, build the ID mapping tables, then translate FKs on the second pass.</w:t>
      </w:r>
    </w:p>
    <w:p w14:paraId="4E40F30F">
      <w:pPr>
        <w:pStyle w:val="Heading2"/>
        <w:spacing w:before="220" w:after="100"/>
      </w:pPr>
      <w:r>
        <w:rPr>
          <w:rFonts w:ascii="Calibri" w:hAnsi="Calibri" w:eastAsia="Calibri" w:cs="Calibri"/>
          <w:b/>
          <w:bCs/>
          <w:color w:val="2E75B6"/>
          <w:sz w:val="24"/>
          <w:szCs w:val="24"/>
        </w:rPr>
        <w:t>Decimal precision is called out as a decision</w:t>
      </w:r>
    </w:p>
    <w:p w14:paraId="0EF26B89">
      <w:pPr>
        <w:spacing w:after="140"/>
        <w:jc w:val="both"/>
      </w:pPr>
      <w:r>
        <w:rPr>
          <w:rFonts w:ascii="Calibri" w:hAnsi="Calibri" w:eastAsia="Calibri" w:cs="Calibri"/>
          <w:sz w:val="22"/>
          <w:szCs w:val="22"/>
        </w:rPr>
        <w:t>MySQL DECIMAL(12,2) has exact decimal semantics. MongoDB Number is IEEE 754 double, which loses precision on some financial values. The output notes this on base_sal specifically and recommends Decimal128 in MongoDB if exact precision is required. This is the kind of decision a migration engineer must make and a reviewer must see.</w:t>
      </w:r>
    </w:p>
    <w:p w14:paraId="1480D398">
      <w:pPr>
        <w:pStyle w:val="Heading2"/>
        <w:spacing w:before="220" w:after="100"/>
      </w:pPr>
      <w:r>
        <w:rPr>
          <w:rFonts w:ascii="Calibri" w:hAnsi="Calibri" w:eastAsia="Calibri" w:cs="Calibri"/>
          <w:b/>
          <w:bCs/>
          <w:color w:val="2E75B6"/>
          <w:sz w:val="24"/>
          <w:szCs w:val="24"/>
        </w:rPr>
        <w:t>Store legacy IDs for traceability</w:t>
      </w:r>
    </w:p>
    <w:p w14:paraId="60ADD838">
      <w:pPr>
        <w:spacing w:after="140"/>
        <w:jc w:val="both"/>
      </w:pPr>
      <w:r>
        <w:rPr>
          <w:rFonts w:ascii="Calibri" w:hAnsi="Calibri" w:eastAsia="Calibri" w:cs="Calibri"/>
          <w:sz w:val="22"/>
          <w:szCs w:val="22"/>
        </w:rPr>
        <w:t>Every primary key mapping (emp_id, dept_id, loc_id to _id) includes a note recommending that the original integer ID be preserved on the document (e.g., meta.legacyEmpId) for traceability during and after migration. This is standard practice in production data migrations and it costs nothing to include in the schema.</w:t>
      </w:r>
    </w:p>
    <w:p w14:paraId="14B9B66F">
      <w:pPr>
        <w:pageBreakBefore/>
      </w:pPr>
      <w:r>
        <w:lastRenderedPageBreak/>
      </w:r>
    </w:p>
    <w:p w14:paraId="67EA0086">
      <w:pPr>
        <w:pStyle w:val="Heading1"/>
        <w:spacing w:before="280" w:after="140"/>
      </w:pPr>
      <w:r>
        <w:rPr>
          <w:rFonts w:ascii="Calibri" w:hAnsi="Calibri" w:eastAsia="Calibri" w:cs="Calibri"/>
          <w:b/>
          <w:bCs/>
          <w:color w:val="1F4E79"/>
          <w:sz w:val="30"/>
          <w:szCs w:val="30"/>
        </w:rPr>
        <w:t>Stage 4a: enrichment rules</w:t>
      </w:r>
    </w:p>
    <w:p w14:paraId="793DDA3D">
      <w:pPr>
        <w:spacing w:after="140"/>
        <w:jc w:val="both"/>
      </w:pPr>
      <w:r>
        <w:rPr>
          <w:rFonts w:ascii="Calibri" w:hAnsi="Calibri" w:eastAsia="Calibri" w:cs="Calibri"/>
          <w:sz w:val="22"/>
          <w:szCs w:val="22"/>
        </w:rPr>
        <w:t>Enrichment applies deterministic rules to the LLM's proposed field mapping in place, before verification runs. The rationale: LLM mapping proposals are semantically strong but operationally patchy. A production pipeline should not depend on the LLM catching every infrastructure detail. Rules that can be applied by inspecting the parsed source schema go here instead, where they are cheap, reliable, testable, and consistent across runs.</w:t>
      </w:r>
    </w:p>
    <w:p w14:paraId="26906DD4">
      <w:pPr>
        <w:pStyle w:val="Heading2"/>
        <w:spacing w:before="220" w:after="100"/>
      </w:pPr>
      <w:r>
        <w:rPr>
          <w:rFonts w:ascii="Calibri" w:hAnsi="Calibri" w:eastAsia="Calibri" w:cs="Calibri"/>
          <w:b/>
          <w:bCs/>
          <w:color w:val="2E75B6"/>
          <w:sz w:val="24"/>
          <w:szCs w:val="24"/>
        </w:rPr>
        <w:t>Current rule: UNIQUE constraint preservation</w:t>
      </w:r>
    </w:p>
    <w:p w14:paraId="5FF7B283">
      <w:pPr>
        <w:spacing w:after="140"/>
        <w:jc w:val="both"/>
      </w:pPr>
      <w:r>
        <w:rPr>
          <w:rFonts w:ascii="Calibri" w:hAnsi="Calibri" w:eastAsia="Calibri" w:cs="Calibri"/>
          <w:sz w:val="22"/>
          <w:szCs w:val="22"/>
        </w:rPr>
        <w:t>MongoDB does not automatically preserve MySQL uniqueness. If a source field carries the UNIQUE constraint and maps to a non-null, non-_id destination path, the enrichment stage appends a note to the field mapping reminding the migration engineer to create a corresponding unique index in MongoDB on that path.</w:t>
      </w:r>
    </w:p>
    <w:p w14:paraId="6D82D597">
      <w:pPr>
        <w:pStyle w:val="ListParagraph"/>
        <w:numPr>
          <w:ilvl w:val="0"/>
          <w:numId w:val="2"/>
        </w:numPr>
        <w:spacing w:after="60"/>
        <w:ind w:left="540" w:hanging="270"/>
      </w:pPr>
      <w:r>
        <w:rPr>
          <w:rFonts w:ascii="Calibri" w:hAnsi="Calibri" w:eastAsia="Calibri" w:cs="Calibri"/>
          <w:b/>
          <w:bCs/>
          <w:sz w:val="22"/>
          <w:szCs w:val="22"/>
        </w:rPr>
        <w:t xml:space="preserve">The _id exclusion. </w:t>
      </w:r>
      <w:r>
        <w:rPr>
          <w:rFonts w:ascii="Calibri" w:hAnsi="Calibri" w:eastAsia="Calibri" w:cs="Calibri"/>
          <w:sz w:val="22"/>
          <w:szCs w:val="22"/>
        </w:rPr>
        <w:t>MongoDB _id is inherently unique; adding a unique-index note to a primary-key-to-_id mapping would be noise. The rule explicitly excludes destination paths equal to "_id".</w:t>
      </w:r>
    </w:p>
    <w:p w14:paraId="0ED41603">
      <w:pPr>
        <w:pStyle w:val="ListParagraph"/>
        <w:numPr>
          <w:ilvl w:val="0"/>
          <w:numId w:val="2"/>
        </w:numPr>
        <w:spacing w:after="60"/>
        <w:ind w:left="540" w:hanging="270"/>
      </w:pPr>
      <w:r>
        <w:rPr>
          <w:rFonts w:ascii="Calibri" w:hAnsi="Calibri" w:eastAsia="Calibri" w:cs="Calibri"/>
          <w:b/>
          <w:bCs/>
          <w:sz w:val="22"/>
          <w:szCs w:val="22"/>
        </w:rPr>
        <w:t xml:space="preserve">Deduplication. </w:t>
      </w:r>
      <w:r>
        <w:rPr>
          <w:rFonts w:ascii="Calibri" w:hAnsi="Calibri" w:eastAsia="Calibri" w:cs="Calibri"/>
          <w:sz w:val="22"/>
          <w:szCs w:val="22"/>
        </w:rPr>
        <w:t>If the LLM already mentioned unique-index guidance in its own notes, the rule does not duplicate it. This handles the case where the LLM happens to catch the rule itself (as it did in one of the mappings during pipeline validation), avoiding awkward double-noted output.</w:t>
      </w:r>
    </w:p>
    <w:p w14:paraId="5B77AD8B">
      <w:pPr>
        <w:pStyle w:val="ListParagraph"/>
        <w:numPr>
          <w:ilvl w:val="0"/>
          <w:numId w:val="2"/>
        </w:numPr>
        <w:spacing w:after="60"/>
        <w:ind w:left="540" w:hanging="270"/>
      </w:pPr>
      <w:r>
        <w:rPr>
          <w:rFonts w:ascii="Calibri" w:hAnsi="Calibri" w:eastAsia="Calibri" w:cs="Calibri"/>
          <w:b/>
          <w:bCs/>
          <w:sz w:val="22"/>
          <w:szCs w:val="22"/>
        </w:rPr>
        <w:t xml:space="preserve">Fields that fire this rule in the sample schemas. </w:t>
      </w:r>
      <w:r>
        <w:rPr>
          <w:rFonts w:ascii="Calibri" w:hAnsi="Calibri" w:eastAsia="Calibri" w:cs="Calibri"/>
          <w:sz w:val="22"/>
          <w:szCs w:val="22"/>
        </w:rPr>
        <w:t>emp_master.emp_cd (UNIQUE, NOT NULL), emp_master.work_email (UNIQUE), dept_info.dept_cd (UNIQUE), and locations.loc_cd (UNIQUE). Each of these gets an appended note about MongoDB unique index creation.</w:t>
      </w:r>
    </w:p>
    <w:p w14:paraId="28DF31D9">
      <w:pPr>
        <w:pStyle w:val="Heading2"/>
        <w:spacing w:before="220" w:after="100"/>
      </w:pPr>
      <w:r>
        <w:rPr>
          <w:rFonts w:ascii="Calibri" w:hAnsi="Calibri" w:eastAsia="Calibri" w:cs="Calibri"/>
          <w:b/>
          <w:bCs/>
          <w:color w:val="2E75B6"/>
          <w:sz w:val="24"/>
          <w:szCs w:val="24"/>
        </w:rPr>
        <w:t>Rules to add over time</w:t>
      </w:r>
    </w:p>
    <w:p w14:paraId="4C4FE4FE">
      <w:pPr>
        <w:spacing w:after="140"/>
        <w:jc w:val="both"/>
      </w:pPr>
      <w:r>
        <w:rPr>
          <w:rFonts w:ascii="Calibri" w:hAnsi="Calibri" w:eastAsia="Calibri" w:cs="Calibri"/>
          <w:sz w:val="22"/>
          <w:szCs w:val="22"/>
        </w:rPr>
        <w:t>The docstring for enrich_mapping lists four additional rules that would make sense to add as they surface from real migrations. Each is deterministic in exactly the same way, and each represents a category of operational detail that LLM proposals will sometimes catch and sometimes miss.</w:t>
      </w:r>
    </w:p>
    <w:p w14:paraId="7109EA62">
      <w:pPr>
        <w:pStyle w:val="ListParagraph"/>
        <w:numPr>
          <w:ilvl w:val="0"/>
          <w:numId w:val="2"/>
        </w:numPr>
        <w:spacing w:after="60"/>
        <w:ind w:left="540" w:hanging="270"/>
      </w:pPr>
      <w:r>
        <w:rPr>
          <w:rFonts w:ascii="Calibri" w:hAnsi="Calibri" w:eastAsia="Calibri" w:cs="Calibri"/>
          <w:sz w:val="22"/>
          <w:szCs w:val="22"/>
        </w:rPr>
        <w:t>NOT NULL preservation: translate to MongoDB schema validation rules.</w:t>
      </w:r>
    </w:p>
    <w:p w14:paraId="439AE21D">
      <w:pPr>
        <w:pStyle w:val="ListParagraph"/>
        <w:numPr>
          <w:ilvl w:val="0"/>
          <w:numId w:val="2"/>
        </w:numPr>
        <w:spacing w:after="60"/>
        <w:ind w:left="540" w:hanging="270"/>
      </w:pPr>
      <w:r>
        <w:rPr>
          <w:rFonts w:ascii="Calibri" w:hAnsi="Calibri" w:eastAsia="Calibri" w:cs="Calibri"/>
          <w:sz w:val="22"/>
          <w:szCs w:val="22"/>
        </w:rPr>
        <w:t>CHECK constraints: translate to MongoDB $jsonSchema validators.</w:t>
      </w:r>
    </w:p>
    <w:p w14:paraId="4A003D12">
      <w:pPr>
        <w:pStyle w:val="ListParagraph"/>
        <w:numPr>
          <w:ilvl w:val="0"/>
          <w:numId w:val="2"/>
        </w:numPr>
        <w:spacing w:after="60"/>
        <w:ind w:left="540" w:hanging="270"/>
      </w:pPr>
      <w:r>
        <w:rPr>
          <w:rFonts w:ascii="Calibri" w:hAnsi="Calibri" w:eastAsia="Calibri" w:cs="Calibri"/>
          <w:sz w:val="22"/>
          <w:szCs w:val="22"/>
        </w:rPr>
        <w:t>DEFAULT values: surface as migration-time default population instructions.</w:t>
      </w:r>
    </w:p>
    <w:p w14:paraId="08EE24FA">
      <w:pPr>
        <w:pStyle w:val="ListParagraph"/>
        <w:numPr>
          <w:ilvl w:val="0"/>
          <w:numId w:val="2"/>
        </w:numPr>
        <w:spacing w:after="60"/>
        <w:ind w:left="540" w:hanging="270"/>
      </w:pPr>
      <w:r>
        <w:rPr>
          <w:rFonts w:ascii="Calibri" w:hAnsi="Calibri" w:eastAsia="Calibri" w:cs="Calibri"/>
          <w:sz w:val="22"/>
          <w:szCs w:val="22"/>
        </w:rPr>
        <w:t>CHAR length limits: surface as MongoDB validation rules on string length.</w:t>
      </w:r>
    </w:p>
    <w:p w14:paraId="4FCF52E1">
      <w:pPr>
        <w:spacing w:after="140"/>
        <w:jc w:val="both"/>
      </w:pPr>
      <w:r>
        <w:rPr>
          <w:rFonts w:ascii="Calibri" w:hAnsi="Calibri" w:eastAsia="Calibri" w:cs="Calibri"/>
          <w:sz w:val="22"/>
          <w:szCs w:val="22"/>
        </w:rPr>
        <w:t>Adding rules here rather than to the prompt has a specific benefit: each rule can be unit-tested against known inputs. Rules in the prompt cannot. That difference matters when the rule catalogue grows past a handful.</w:t>
      </w:r>
    </w:p>
    <w:p w14:paraId="4131F6CA">
      <w:pPr>
        <w:pStyle w:val="Heading1"/>
        <w:spacing w:before="280" w:after="140"/>
      </w:pPr>
      <w:r>
        <w:rPr>
          <w:rFonts w:ascii="Calibri" w:hAnsi="Calibri" w:eastAsia="Calibri" w:cs="Calibri"/>
          <w:b/>
          <w:bCs/>
          <w:color w:val="1F4E79"/>
          <w:sz w:val="30"/>
          <w:szCs w:val="30"/>
        </w:rPr>
        <w:t>Stage 4b: verification checks</w:t>
      </w:r>
    </w:p>
    <w:p w14:paraId="7F834FE3">
      <w:pPr>
        <w:spacing w:after="140"/>
        <w:jc w:val="both"/>
      </w:pPr>
      <w:r>
        <w:rPr>
          <w:rFonts w:ascii="Calibri" w:hAnsi="Calibri" w:eastAsia="Calibri" w:cs="Calibri"/>
          <w:sz w:val="22"/>
          <w:szCs w:val="22"/>
        </w:rPr>
        <w:t>Verification runs deterministically after enrichment. Its purpose is to catch classes of failure that the LLM can silently produce. The specific checks:</w:t>
      </w:r>
    </w:p>
    <w:p w14:paraId="662F184F">
      <w:pPr>
        <w:pStyle w:val="ListParagraph"/>
        <w:numPr>
          <w:ilvl w:val="0"/>
          <w:numId w:val="2"/>
        </w:numPr>
        <w:spacing w:after="60"/>
        <w:ind w:left="540" w:hanging="270"/>
      </w:pPr>
      <w:r>
        <w:rPr>
          <w:rFonts w:ascii="Calibri" w:hAnsi="Calibri" w:eastAsia="Calibri" w:cs="Calibri"/>
          <w:b/>
          <w:bCs/>
          <w:sz w:val="22"/>
          <w:szCs w:val="22"/>
        </w:rPr>
        <w:t xml:space="preserve">Completeness. </w:t>
      </w:r>
      <w:r>
        <w:rPr>
          <w:rFonts w:ascii="Calibri" w:hAnsi="Calibri" w:eastAsia="Calibri" w:cs="Calibri"/>
          <w:sz w:val="22"/>
          <w:szCs w:val="22"/>
        </w:rPr>
        <w:t>Every source field in the parsed schema must appear in field_mappings. If any are missing, a warning is emitted with the list of missing names. This catches the failure mode where the LLM truncates output or misses a field.</w:t>
      </w:r>
    </w:p>
    <w:p w14:paraId="34DB3F7A">
      <w:pPr>
        <w:pStyle w:val="ListParagraph"/>
        <w:numPr>
          <w:ilvl w:val="0"/>
          <w:numId w:val="2"/>
        </w:numPr>
        <w:spacing w:after="60"/>
        <w:ind w:left="540" w:hanging="270"/>
      </w:pPr>
      <w:r>
        <w:rPr>
          <w:rFonts w:ascii="Calibri" w:hAnsi="Calibri" w:eastAsia="Calibri" w:cs="Calibri"/>
          <w:b/>
          <w:bCs/>
          <w:sz w:val="22"/>
          <w:szCs w:val="22"/>
        </w:rPr>
        <w:t xml:space="preserve">Field name validity. </w:t>
      </w:r>
      <w:r>
        <w:rPr>
          <w:rFonts w:ascii="Calibri" w:hAnsi="Calibri" w:eastAsia="Calibri" w:cs="Calibri"/>
          <w:sz w:val="22"/>
          <w:szCs w:val="22"/>
        </w:rPr>
        <w:t>Every source_field claimed by the LLM must actually exist in the parsed source table. This catches hallucinated field names.</w:t>
      </w:r>
    </w:p>
    <w:p w14:paraId="778744AD">
      <w:pPr>
        <w:pStyle w:val="ListParagraph"/>
        <w:numPr>
          <w:ilvl w:val="0"/>
          <w:numId w:val="2"/>
        </w:numPr>
        <w:spacing w:after="60"/>
        <w:ind w:left="540" w:hanging="270"/>
      </w:pPr>
      <w:r>
        <w:rPr>
          <w:rFonts w:ascii="Calibri" w:hAnsi="Calibri" w:eastAsia="Calibri" w:cs="Calibri"/>
          <w:b/>
          <w:bCs/>
          <w:sz w:val="22"/>
          <w:szCs w:val="22"/>
        </w:rPr>
        <w:t xml:space="preserve">Destination path validity. </w:t>
      </w:r>
      <w:r>
        <w:rPr>
          <w:rFonts w:ascii="Calibri" w:hAnsi="Calibri" w:eastAsia="Calibri" w:cs="Calibri"/>
          <w:sz w:val="22"/>
          <w:szCs w:val="22"/>
        </w:rPr>
        <w:t>Every non-null destination_field must be a valid flattened path in the destination collection. This catches hallucinated destination paths, including subtle ones like fullName.first (instead of fullName.firstName).</w:t>
      </w:r>
    </w:p>
    <w:p w14:paraId="20752923">
      <w:pPr>
        <w:pStyle w:val="ListParagraph"/>
        <w:numPr>
          <w:ilvl w:val="0"/>
          <w:numId w:val="2"/>
        </w:numPr>
        <w:spacing w:after="60"/>
        <w:ind w:left="540" w:hanging="270"/>
      </w:pPr>
      <w:r>
        <w:rPr>
          <w:rFonts w:ascii="Calibri" w:hAnsi="Calibri" w:eastAsia="Calibri" w:cs="Calibri"/>
          <w:b/>
          <w:bCs/>
          <w:sz w:val="22"/>
          <w:szCs w:val="22"/>
        </w:rPr>
        <w:t xml:space="preserve">Confidence range. </w:t>
      </w:r>
      <w:r>
        <w:rPr>
          <w:rFonts w:ascii="Calibri" w:hAnsi="Calibri" w:eastAsia="Calibri" w:cs="Calibri"/>
          <w:sz w:val="22"/>
          <w:szCs w:val="22"/>
        </w:rPr>
        <w:t>Every confidence value must be in [0.0, 1.0]. This catches out-of-range numbers that would break downstream consumers.</w:t>
      </w:r>
    </w:p>
    <w:p w14:paraId="7D73CDD7">
      <w:pPr>
        <w:pStyle w:val="ListParagraph"/>
        <w:numPr>
          <w:ilvl w:val="0"/>
          <w:numId w:val="2"/>
        </w:numPr>
        <w:spacing w:after="60"/>
        <w:ind w:left="540" w:hanging="270"/>
      </w:pPr>
      <w:r>
        <w:rPr>
          <w:rFonts w:ascii="Calibri" w:hAnsi="Calibri" w:eastAsia="Calibri" w:cs="Calibri"/>
          <w:b/>
          <w:bCs/>
          <w:sz w:val="22"/>
          <w:szCs w:val="22"/>
        </w:rPr>
        <w:t xml:space="preserve">Duplicate destination claims. </w:t>
      </w:r>
      <w:r>
        <w:rPr>
          <w:rFonts w:ascii="Calibri" w:hAnsi="Calibri" w:eastAsia="Calibri" w:cs="Calibri"/>
          <w:sz w:val="22"/>
          <w:szCs w:val="22"/>
        </w:rPr>
        <w:t>No two source fields may claim the same destination path within the same table pair. If two do, both are reported for review.</w:t>
      </w:r>
    </w:p>
    <w:p w14:paraId="266C0F58">
      <w:pPr>
        <w:spacing w:after="140"/>
        <w:jc w:val="both"/>
      </w:pPr>
      <w:r>
        <w:rPr>
          <w:rFonts w:ascii="Calibri" w:hAnsi="Calibri" w:eastAsia="Calibri" w:cs="Calibri"/>
          <w:sz w:val="22"/>
          <w:szCs w:val="22"/>
        </w:rPr>
        <w:t>Warnings do not block output. They surface for the caller to decide: retry the LLM call with a stronger prompt, accept the warnings and continue, or route to a human. That policy is appropriate for a mapping pipeline where the output is reviewed before migration execution.</w:t>
      </w:r>
    </w:p>
    <w:p w14:paraId="51A993CC">
      <w:pPr>
        <w:pageBreakBefore/>
      </w:pPr>
      <w:r>
        <w:lastRenderedPageBreak/>
      </w:r>
    </w:p>
    <w:p w14:paraId="3FC57B68">
      <w:pPr>
        <w:pStyle w:val="Heading1"/>
        <w:spacing w:before="280" w:after="140"/>
      </w:pPr>
      <w:r>
        <w:rPr>
          <w:rFonts w:ascii="Calibri" w:hAnsi="Calibri" w:eastAsia="Calibri" w:cs="Calibri"/>
          <w:b/>
          <w:bCs/>
          <w:color w:val="1F4E79"/>
          <w:sz w:val="30"/>
          <w:szCs w:val="30"/>
        </w:rPr>
        <w:t>Honest limitations and next steps</w:t>
      </w:r>
    </w:p>
    <w:p w14:paraId="41FF3058">
      <w:pPr>
        <w:spacing w:after="140"/>
        <w:jc w:val="both"/>
      </w:pPr>
      <w:r>
        <w:rPr>
          <w:rFonts w:ascii="Calibri" w:hAnsi="Calibri" w:eastAsia="Calibri" w:cs="Calibri"/>
          <w:sz w:val="22"/>
          <w:szCs w:val="22"/>
        </w:rPr>
        <w:t>Some deliberate gaps in this prototype that a production version would close.</w:t>
      </w:r>
    </w:p>
    <w:p w14:paraId="63E89333">
      <w:pPr>
        <w:pStyle w:val="ListParagraph"/>
        <w:numPr>
          <w:ilvl w:val="0"/>
          <w:numId w:val="2"/>
        </w:numPr>
        <w:spacing w:after="60"/>
        <w:ind w:left="540" w:hanging="270"/>
      </w:pPr>
      <w:r>
        <w:rPr>
          <w:rFonts w:ascii="Calibri" w:hAnsi="Calibri" w:eastAsia="Calibri" w:cs="Calibri"/>
          <w:b/>
          <w:bCs/>
          <w:sz w:val="22"/>
          <w:szCs w:val="22"/>
        </w:rPr>
        <w:t xml:space="preserve">No retry-on-warning logic. </w:t>
      </w:r>
      <w:r>
        <w:rPr>
          <w:rFonts w:ascii="Calibri" w:hAnsi="Calibri" w:eastAsia="Calibri" w:cs="Calibri"/>
          <w:sz w:val="22"/>
          <w:szCs w:val="22"/>
        </w:rPr>
        <w:t>If verification finds warnings, they log but the mapping still goes into the output. Production would retry the field-mapping call with a stronger prompt that specifically references the warning. For example: "Your previous response missed source fields X and Y. Return a complete mapping."</w:t>
      </w:r>
    </w:p>
    <w:p w14:paraId="2C8B1318">
      <w:pPr>
        <w:pStyle w:val="ListParagraph"/>
        <w:numPr>
          <w:ilvl w:val="0"/>
          <w:numId w:val="2"/>
        </w:numPr>
        <w:spacing w:after="60"/>
        <w:ind w:left="540" w:hanging="270"/>
      </w:pPr>
      <w:r>
        <w:rPr>
          <w:rFonts w:ascii="Calibri" w:hAnsi="Calibri" w:eastAsia="Calibri" w:cs="Calibri"/>
          <w:b/>
          <w:bCs/>
          <w:sz w:val="22"/>
          <w:szCs w:val="22"/>
        </w:rPr>
        <w:t xml:space="preserve">No second-pass critic agent. </w:t>
      </w:r>
      <w:r>
        <w:rPr>
          <w:rFonts w:ascii="Calibri" w:hAnsi="Calibri" w:eastAsia="Calibri" w:cs="Calibri"/>
          <w:sz w:val="22"/>
          <w:szCs w:val="22"/>
        </w:rPr>
        <w:t>For high-stakes mappings, a production pipeline would run each proposed mapping through a critic agent (a second LLM call with a different model family) that checks the mapping against the source and destination independently. Disagreement between the primary and critic would route to human review. This is the same pattern from my ISMIR-2026 preprint on critic-agent evaluation, applied to schema mapping.</w:t>
      </w:r>
    </w:p>
    <w:p w14:paraId="7CB7CB96">
      <w:pPr>
        <w:pStyle w:val="ListParagraph"/>
        <w:numPr>
          <w:ilvl w:val="0"/>
          <w:numId w:val="2"/>
        </w:numPr>
        <w:spacing w:after="60"/>
        <w:ind w:left="540" w:hanging="270"/>
      </w:pPr>
      <w:r>
        <w:rPr>
          <w:rFonts w:ascii="Calibri" w:hAnsi="Calibri" w:eastAsia="Calibri" w:cs="Calibri"/>
          <w:b/>
          <w:bCs/>
          <w:sz w:val="22"/>
          <w:szCs w:val="22"/>
        </w:rPr>
        <w:t xml:space="preserve">No embedding pre-filter. </w:t>
      </w:r>
      <w:r>
        <w:rPr>
          <w:rFonts w:ascii="Calibri" w:hAnsi="Calibri" w:eastAsia="Calibri" w:cs="Calibri"/>
          <w:sz w:val="22"/>
          <w:szCs w:val="22"/>
        </w:rPr>
        <w:t>For very large schemas (thousands of fields per table) the field-mapping prompt might get long. A production pipeline would compute embeddings over field names and comments and pre-filter candidate destination paths for each source field before the LLM call. This trades a small pre-processing cost for a much shorter LLM prompt.</w:t>
      </w:r>
    </w:p>
    <w:p w14:paraId="5AA1E2E3">
      <w:pPr>
        <w:pStyle w:val="ListParagraph"/>
        <w:numPr>
          <w:ilvl w:val="0"/>
          <w:numId w:val="2"/>
        </w:numPr>
        <w:spacing w:after="60"/>
        <w:ind w:left="540" w:hanging="270"/>
      </w:pPr>
      <w:r>
        <w:rPr>
          <w:rFonts w:ascii="Calibri" w:hAnsi="Calibri" w:eastAsia="Calibri" w:cs="Calibri"/>
          <w:b/>
          <w:bCs/>
          <w:sz w:val="22"/>
          <w:szCs w:val="22"/>
        </w:rPr>
        <w:t xml:space="preserve">No FK dependency graph. </w:t>
      </w:r>
      <w:r>
        <w:rPr>
          <w:rFonts w:ascii="Calibri" w:hAnsi="Calibri" w:eastAsia="Calibri" w:cs="Calibri"/>
          <w:sz w:val="22"/>
          <w:szCs w:val="22"/>
        </w:rPr>
        <w:t>The output correctly identifies FK translations but does not compute the topological migration order across tables. A production pipeline would emit a migration plan ("migrate locations first, then dept_info, then emp_master, then run FK dereferencing pass on emp_master and dept_info") derived from the FK relationships.</w:t>
      </w:r>
    </w:p>
    <w:p w14:paraId="5ED04B04">
      <w:pPr>
        <w:pStyle w:val="ListParagraph"/>
        <w:numPr>
          <w:ilvl w:val="0"/>
          <w:numId w:val="2"/>
        </w:numPr>
        <w:spacing w:after="60"/>
        <w:ind w:left="540" w:hanging="270"/>
      </w:pPr>
      <w:r>
        <w:rPr>
          <w:rFonts w:ascii="Calibri" w:hAnsi="Calibri" w:eastAsia="Calibri" w:cs="Calibri"/>
          <w:b/>
          <w:bCs/>
          <w:sz w:val="22"/>
          <w:szCs w:val="22"/>
        </w:rPr>
        <w:t xml:space="preserve">Single provider. </w:t>
      </w:r>
      <w:r>
        <w:rPr>
          <w:rFonts w:ascii="Calibri" w:hAnsi="Calibri" w:eastAsia="Calibri" w:cs="Calibri"/>
          <w:sz w:val="22"/>
          <w:szCs w:val="22"/>
        </w:rPr>
        <w:t>The LLM client wraps only Anthropic. Production would abstract to allow multi-provider fallback and model-specific prompting.</w:t>
      </w:r>
    </w:p>
    <w:p w14:paraId="7D411004">
      <w:pPr>
        <w:pStyle w:val="ListParagraph"/>
        <w:numPr>
          <w:ilvl w:val="0"/>
          <w:numId w:val="2"/>
        </w:numPr>
        <w:spacing w:after="60"/>
        <w:ind w:left="540" w:hanging="270"/>
      </w:pPr>
      <w:r>
        <w:rPr>
          <w:rFonts w:ascii="Calibri" w:hAnsi="Calibri" w:eastAsia="Calibri" w:cs="Calibri"/>
          <w:b/>
          <w:bCs/>
          <w:sz w:val="22"/>
          <w:szCs w:val="22"/>
        </w:rPr>
        <w:t xml:space="preserve">No caching. </w:t>
      </w:r>
      <w:r>
        <w:rPr>
          <w:rFonts w:ascii="Calibri" w:hAnsi="Calibri" w:eastAsia="Calibri" w:cs="Calibri"/>
          <w:sz w:val="22"/>
          <w:szCs w:val="22"/>
        </w:rPr>
        <w:t>The pipeline recomputes everything on every run. Production would cache table-match and field-map results keyed by a hash of the input schemas so re-runs on unchanged schemas are free.</w:t>
      </w:r>
    </w:p>
    <w:p w14:paraId="0E33961D">
      <w:pPr>
        <w:pStyle w:val="ListParagraph"/>
        <w:numPr>
          <w:ilvl w:val="0"/>
          <w:numId w:val="2"/>
        </w:numPr>
        <w:spacing w:after="60"/>
        <w:ind w:left="540" w:hanging="270"/>
      </w:pPr>
      <w:r>
        <w:rPr>
          <w:rFonts w:ascii="Calibri" w:hAnsi="Calibri" w:eastAsia="Calibri" w:cs="Calibri"/>
          <w:b/>
          <w:bCs/>
          <w:sz w:val="22"/>
          <w:szCs w:val="22"/>
        </w:rPr>
        <w:t xml:space="preserve">Enrichment catalogue is intentionally small. </w:t>
      </w:r>
      <w:r>
        <w:rPr>
          <w:rFonts w:ascii="Calibri" w:hAnsi="Calibri" w:eastAsia="Calibri" w:cs="Calibri"/>
          <w:sz w:val="22"/>
          <w:szCs w:val="22"/>
        </w:rPr>
        <w:t>Stage 4a currently ships one rule (UNIQUE constraint preservation). The four rules named in the enrich_mapping docstring (NOT NULL, CHECK, DEFAULT, CHAR length) are documented as next additions but not implemented in the prototype. A production version would fill these in as they surfaced from real migrations.</w:t>
      </w:r>
    </w:p>
    <w:p w14:paraId="07B47C0B">
      <w:pPr>
        <w:pStyle w:val="Heading1"/>
        <w:spacing w:before="280" w:after="140"/>
      </w:pPr>
      <w:r>
        <w:rPr>
          <w:rFonts w:ascii="Calibri" w:hAnsi="Calibri" w:eastAsia="Calibri" w:cs="Calibri"/>
          <w:b/>
          <w:bCs/>
          <w:color w:val="1F4E79"/>
          <w:sz w:val="30"/>
          <w:szCs w:val="30"/>
        </w:rPr>
        <w:t>How to run</w:t>
      </w:r>
    </w:p>
    <w:p w14:paraId="1D68E0D7">
      <w:pPr>
        <w:spacing w:after="140"/>
        <w:jc w:val="both"/>
      </w:pPr>
      <w:r>
        <w:rPr>
          <w:rFonts w:ascii="Calibri" w:hAnsi="Calibri" w:eastAsia="Calibri" w:cs="Calibri"/>
          <w:sz w:val="22"/>
          <w:szCs w:val="22"/>
        </w:rPr>
        <w:t>The pipeline is a single Python file with three deliverables:</w:t>
      </w:r>
    </w:p>
    <w:p w14:paraId="0FD6341B">
      <w:pPr>
        <w:shd w:val="clear" w:fill="F5F5F5"/>
        <w:spacing w:after="0"/>
      </w:pPr>
      <w:r>
        <w:rPr>
          <w:rFonts w:ascii="Consolas" w:hAnsi="Consolas" w:eastAsia="Consolas" w:cs="Consolas"/>
          <w:sz w:val="18"/>
          <w:szCs w:val="18"/>
        </w:rPr>
        <w:t xml:space="preserve">  pipeline.py     Pipeline implementation (all four stages: 1, 2, 3, 4a, 4b)</w:t>
      </w:r>
    </w:p>
    <w:p w14:paraId="5A3755F0">
      <w:pPr>
        <w:shd w:val="clear" w:fill="F5F5F5"/>
        <w:spacing w:after="0"/>
      </w:pPr>
      <w:r>
        <w:rPr>
          <w:rFonts w:ascii="Consolas" w:hAnsi="Consolas" w:eastAsia="Consolas" w:cs="Consolas"/>
          <w:sz w:val="18"/>
          <w:szCs w:val="18"/>
        </w:rPr>
        <w:t xml:space="preserve">  mapping.json    Generated output from running the pipeline</w:t>
      </w:r>
    </w:p>
    <w:p w14:paraId="2C2D4EC4">
      <w:pPr>
        <w:shd w:val="clear" w:fill="F5F5F5"/>
        <w:spacing w:after="0"/>
      </w:pPr>
      <w:r>
        <w:rPr>
          <w:rFonts w:ascii="Consolas" w:hAnsi="Consolas" w:eastAsia="Consolas" w:cs="Consolas"/>
          <w:sz w:val="18"/>
          <w:szCs w:val="18"/>
        </w:rPr>
        <w:t xml:space="preserve">  writeup.docx    This document</w:t>
      </w:r>
    </w:p>
    <w:p w14:paraId="1332138E">
      <w:pPr>
        <w:shd w:val="clear" w:fill="F5F5F5"/>
        <w:spacing w:after="0"/>
      </w:pPr>
      <w:r>
        <w:rPr>
          <w:rFonts w:ascii="Consolas" w:hAnsi="Consolas" w:eastAsia="Consolas" w:cs="Consolas"/>
          <w:sz w:val="18"/>
          <w:szCs w:val="18"/>
        </w:rPr>
        <w:t xml:space="preserve"> </w:t>
      </w:r>
    </w:p>
    <w:p w14:paraId="56AB0E64">
      <w:pPr>
        <w:shd w:val="clear" w:fill="F5F5F5"/>
        <w:spacing w:after="0"/>
      </w:pPr>
      <w:r>
        <w:rPr>
          <w:rFonts w:ascii="Consolas" w:hAnsi="Consolas" w:eastAsia="Consolas" w:cs="Consolas"/>
          <w:sz w:val="18"/>
          <w:szCs w:val="18"/>
        </w:rPr>
        <w:t xml:space="preserve">  # 1. Install dependencies</w:t>
      </w:r>
    </w:p>
    <w:p w14:paraId="3A09DDF1">
      <w:pPr>
        <w:shd w:val="clear" w:fill="F5F5F5"/>
        <w:spacing w:after="0"/>
      </w:pPr>
      <w:r>
        <w:rPr>
          <w:rFonts w:ascii="Consolas" w:hAnsi="Consolas" w:eastAsia="Consolas" w:cs="Consolas"/>
          <w:sz w:val="18"/>
          <w:szCs w:val="18"/>
        </w:rPr>
        <w:t xml:space="preserve">  pip install anthropic pydantic</w:t>
      </w:r>
    </w:p>
    <w:p w14:paraId="6F2F4FF8">
      <w:pPr>
        <w:shd w:val="clear" w:fill="F5F5F5"/>
        <w:spacing w:after="0"/>
      </w:pPr>
      <w:r>
        <w:rPr>
          <w:rFonts w:ascii="Consolas" w:hAnsi="Consolas" w:eastAsia="Consolas" w:cs="Consolas"/>
          <w:sz w:val="18"/>
          <w:szCs w:val="18"/>
        </w:rPr>
        <w:t xml:space="preserve"> </w:t>
      </w:r>
    </w:p>
    <w:p w14:paraId="1739603C">
      <w:pPr>
        <w:shd w:val="clear" w:fill="F5F5F5"/>
        <w:spacing w:after="0"/>
      </w:pPr>
      <w:r>
        <w:rPr>
          <w:rFonts w:ascii="Consolas" w:hAnsi="Consolas" w:eastAsia="Consolas" w:cs="Consolas"/>
          <w:sz w:val="18"/>
          <w:szCs w:val="18"/>
        </w:rPr>
        <w:t xml:space="preserve">  # 2. Set your Anthropic API key</w:t>
      </w:r>
    </w:p>
    <w:p w14:paraId="4362F748">
      <w:pPr>
        <w:shd w:val="clear" w:fill="F5F5F5"/>
        <w:spacing w:after="0"/>
      </w:pPr>
      <w:r>
        <w:rPr>
          <w:rFonts w:ascii="Consolas" w:hAnsi="Consolas" w:eastAsia="Consolas" w:cs="Consolas"/>
          <w:sz w:val="18"/>
          <w:szCs w:val="18"/>
        </w:rPr>
        <w:t xml:space="preserve">  export ANTHROPIC_API_KEY=sk-...</w:t>
      </w:r>
    </w:p>
    <w:p w14:paraId="546FEBCE">
      <w:pPr>
        <w:shd w:val="clear" w:fill="F5F5F5"/>
        <w:spacing w:after="0"/>
      </w:pPr>
      <w:r>
        <w:rPr>
          <w:rFonts w:ascii="Consolas" w:hAnsi="Consolas" w:eastAsia="Consolas" w:cs="Consolas"/>
          <w:sz w:val="18"/>
          <w:szCs w:val="18"/>
        </w:rPr>
        <w:t xml:space="preserve"> </w:t>
      </w:r>
    </w:p>
    <w:p w14:paraId="0CBA27F6">
      <w:pPr>
        <w:shd w:val="clear" w:fill="F5F5F5"/>
        <w:spacing w:after="0"/>
      </w:pPr>
      <w:r>
        <w:rPr>
          <w:rFonts w:ascii="Consolas" w:hAnsi="Consolas" w:eastAsia="Consolas" w:cs="Consolas"/>
          <w:sz w:val="18"/>
          <w:szCs w:val="18"/>
        </w:rPr>
        <w:t xml:space="preserve">  # 3. Run</w:t>
      </w:r>
    </w:p>
    <w:p w14:paraId="668A6CD3">
      <w:pPr>
        <w:shd w:val="clear" w:fill="F5F5F5"/>
        <w:spacing w:after="0"/>
      </w:pPr>
      <w:r>
        <w:rPr>
          <w:rFonts w:ascii="Consolas" w:hAnsi="Consolas" w:eastAsia="Consolas" w:cs="Consolas"/>
          <w:sz w:val="18"/>
          <w:szCs w:val="18"/>
        </w:rPr>
        <w:t xml:space="preserve">  python pipeline.py --out mapping.json</w:t>
      </w:r>
    </w:p>
    <w:p w14:paraId="7A361540">
      <w:pPr>
        <w:shd w:val="clear" w:fill="F5F5F5"/>
        <w:spacing w:after="0"/>
      </w:pPr>
      <w:r>
        <w:rPr>
          <w:rFonts w:ascii="Consolas" w:hAnsi="Consolas" w:eastAsia="Consolas" w:cs="Consolas"/>
          <w:sz w:val="18"/>
          <w:szCs w:val="18"/>
        </w:rPr>
        <w:t xml:space="preserve"> </w:t>
      </w:r>
    </w:p>
    <w:p w14:paraId="09B141FB">
      <w:pPr>
        <w:shd w:val="clear" w:fill="F5F5F5"/>
        <w:spacing w:after="0"/>
      </w:pPr>
      <w:r>
        <w:rPr>
          <w:rFonts w:ascii="Consolas" w:hAnsi="Consolas" w:eastAsia="Consolas" w:cs="Consolas"/>
          <w:sz w:val="18"/>
          <w:szCs w:val="18"/>
        </w:rPr>
        <w:t xml:space="preserve">  # Output goes to mapping.json with logs on stderr showing each stage.</w:t>
      </w:r>
    </w:p>
    <w:p w14:paraId="61E7EAA2">
      <w:pPr>
        <w:spacing w:after="140"/>
        <w:jc w:val="both"/>
      </w:pPr>
      <w:r>
        <w:rPr>
          <w:rFonts w:ascii="Calibri" w:hAnsi="Calibri" w:eastAsia="Calibri" w:cs="Calibri"/>
          <w:sz w:val="22"/>
          <w:szCs w:val="22"/>
        </w:rPr>
        <w:t>The pipeline uses claude-sonnet-4-5 by default. Swap the model string in LLMClient to use a different model, or subclass LLMClient to use a different provider entirely.</w:t>
      </w:r>
    </w:p>
    <w:p w14:paraId="35F147CC">
      <w:pPr>
        <w:pStyle w:val="Heading1"/>
        <w:spacing w:before="280" w:after="140"/>
      </w:pPr>
      <w:r>
        <w:rPr>
          <w:rFonts w:ascii="Calibri" w:hAnsi="Calibri" w:eastAsia="Calibri" w:cs="Calibri"/>
          <w:b/>
          <w:bCs/>
          <w:color w:val="1F4E79"/>
          <w:sz w:val="30"/>
          <w:szCs w:val="30"/>
        </w:rPr>
        <w:t>Closing</w:t>
      </w:r>
    </w:p>
    <w:p w14:paraId="0E7A0C93">
      <w:pPr>
        <w:spacing w:after="140"/>
        <w:jc w:val="both"/>
      </w:pPr>
      <w:r>
        <w:rPr>
          <w:rFonts w:ascii="Calibri" w:hAnsi="Calibri" w:eastAsia="Calibri" w:cs="Calibri"/>
          <w:sz w:val="22"/>
          <w:szCs w:val="22"/>
        </w:rPr>
        <w:t>The critical constraint in this assignment (no single LLM prompt receives both full schemas) is the architectural centerpiece, not an obstacle. Respecting it forces exactly the decomposition that makes the pipeline actually scale to real-world schemas with hundreds of tables. That is a good constraint to have. The four-stage pipeline documented here respects it by construction, produces the required output, and separates the work at each stage between the tool best suited to it: deterministic code for parsing, rule application, and verification; an LLM for semantic judgment under explicit confidence calibration. I would welcome the opportunity to walk through any specific design decision in more depth.</w:t>
      </w:r>
    </w:p>
    <w:p w14:paraId="012339CC">
      <w:pPr>
        <w:spacing w:before="240" w:after="120"/>
      </w:pPr>
      <w:r>
        <w:rPr>
          <w:rFonts w:ascii="Calibri" w:hAnsi="Calibri" w:eastAsia="Calibri" w:cs="Calibri"/>
          <w:sz w:val="22"/>
          <w:szCs w:val="22"/>
        </w:rPr>
        <w:t xml:space="preserve"> </w:t>
      </w:r>
    </w:p>
    <w:p w14:paraId="2250879C">
      <w:pPr>
        <w:spacing w:before="240"/>
        <w:jc w:val="center"/>
      </w:pPr>
      <w:r>
        <w:rPr>
          <w:rFonts w:ascii="Calibri" w:hAnsi="Calibri" w:eastAsia="Calibri" w:cs="Calibri"/>
          <w:i/>
          <w:iCs/>
          <w:color w:val="555555"/>
          <w:sz w:val="20"/>
          <w:szCs w:val="20"/>
        </w:rPr>
        <w:t>Thank you for your time and consideration.</w:t>
      </w:r>
    </w:p>
    <w:sectPr>
      <w:pgSz w:w="12240" w:h="15840"/>
      <w:pgMar w:top="1080" w:right="1440" w:bottom="108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2026-07-15T03:43:09.157Z</dcterms:created>
  <dcterms:modified xsi:type="dcterms:W3CDTF">2026-07-15T03:49:32.247Z</dcterms:modified>
</cp:coreProperties>
</file>

<file path=docProps/custom.xml><?xml version="1.0" encoding="utf-8"?>
<Properties xmlns="http://schemas.openxmlformats.org/officeDocument/2006/custom-properties" xmlns:vt="http://schemas.openxmlformats.org/officeDocument/2006/docPropsVTypes"/>
</file>