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CIPHER: Confluence of Institutional Price-structure, Histogram momentum, Exit timing, and Risk scaling in Bitcoin Trading,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pPr>
        <w:spacing w:after="0" w:line="48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Can a Rule-Based Bitcoin Strategy Beat Simply Buying Every Week?</w:t>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 xml:space="preserve">CIPHER: Confluence of Institutional Price-structure, Histogram momentum, Exit timing, and Risk scaling in Bitcoin Trading,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br w:type="textWrapping"/>
        <w:tab/>
        <w:t xml:space="preserve">Over 2022 to 2026, buying a fixed amount of Bitcoin every week ended with more money than a rule-based trading strategy: $22,312.94 against $13,417.77 from the same $10,000, although the strategy won 70.37% of its 27 trades. The strategy, built from MACD, KDJ, ATR, and Smart Money Concepts Order Blocks, had rules set by eye on 2018 to 2022 charts and fixed before the test window was run, then applied to 8,767 four-hour candles as unlevered futures trades, long and short. Before costs it returned +30.31% (one-sided exact binomial p = 0.0261). After a 0.20% round-trip cost p rose to 0.1239, and with stops checked against candle highs and lows, 0.061 even before costs. The after-cost 95% bootstrap interval on total return was [+0.59%, +49.59%] with trades resampled singly but [−1.29%, +49.96%] with runs of consecutive trades resampled, so the return was positive before costs but not clearly above zero after them. Inside a weekly buying plan, moving 30% of contributions into the strategy raised the after-cost Sharpe ratio from 0.555 to 0.621 and cut the worst drop from −36.02% to −26.43%, slightly better than holding 30% as cash (0.585, −27.34%). A January to July 2026 forward test lost 3.45% on four trades. Removing any one indicator gate lowered average return per trade, but not significantly after a Holm correction; on 1-hour candles the rules lost 0.18% per trade after costs (p = 0.696). Costs decided whether the win rate was significant; weekly buying won on final value either way.</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dot" w:pos="935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w:t>
            <w:tab/>
            <w:t>6</w:t>
          </w:r>
        </w:p>
        <w:p w:rsidR="00000000" w:rsidDel="00000000" w:rsidP="00000000" w:rsidRDefault="00000000" w:rsidRPr="00000000" w14:paraId="00000021">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w:t>
            <w:tab/>
            <w:t>12</w:t>
          </w:r>
        </w:p>
        <w:p w:rsidR="00000000" w:rsidDel="00000000" w:rsidP="00000000" w:rsidRDefault="00000000" w:rsidRPr="00000000" w14:paraId="00000022">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w:t>
            <w:tab/>
            <w:t>14</w:t>
          </w:r>
        </w:p>
        <w:p w:rsidR="00000000" w:rsidDel="00000000" w:rsidP="00000000" w:rsidRDefault="00000000" w:rsidRPr="00000000" w14:paraId="00000022">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"_hypotheses" </w:instrText>
            <w:fldChar w:fldCharType="separate"/>
          </w:r>
          <w:r w:rsidDel="00000000" w:rsidR="00000000" w:rsidRPr="00000000">
            <w:rPr>
              <w:rFonts w:ascii="Times New Roman" w:cs="Times New Roman" w:eastAsia="Times New Roman" w:hAnsi="Times New Roman"/>
              <w:rtl w:val="0"/>
            </w:rPr>
            <w:t xml:space="preserve">Hypotheses</w:t>
            <w:tab/>
            <w:t>15</w:t>
          </w:r>
        </w:p>
        <w:p w:rsidR="00000000" w:rsidDel="00000000" w:rsidP="00000000" w:rsidRDefault="00000000" w:rsidRPr="00000000" w14:paraId="0000002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17</w:t>
          </w:r>
        </w:p>
        <w:p w:rsidR="00000000" w:rsidDel="00000000" w:rsidP="00000000" w:rsidRDefault="00000000" w:rsidRPr="00000000" w14:paraId="0000002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17</w:t>
          </w:r>
        </w:p>
        <w:p w:rsidR="00000000" w:rsidDel="00000000" w:rsidP="00000000" w:rsidRDefault="00000000" w:rsidRPr="00000000" w14:paraId="00000025">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w:t>
            <w:tab/>
            <w:t>18</w:t>
          </w:r>
        </w:p>
        <w:p w:rsidR="00000000" w:rsidDel="00000000" w:rsidP="00000000" w:rsidRDefault="00000000" w:rsidRPr="00000000" w14:paraId="0000002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w:t>
            <w:tab/>
            <w:t>20</w:t>
          </w:r>
        </w:p>
        <w:p w:rsidR="00000000" w:rsidDel="00000000" w:rsidP="00000000" w:rsidRDefault="00000000" w:rsidRPr="00000000" w14:paraId="00000027">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w:t>
            <w:tab/>
            <w:t>21</w:t>
          </w:r>
        </w:p>
        <w:p w:rsidR="00000000" w:rsidDel="00000000" w:rsidP="00000000" w:rsidRDefault="00000000" w:rsidRPr="00000000" w14:paraId="0000002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w:t>
            <w:tab/>
            <w:t>28</w:t>
          </w:r>
        </w:p>
        <w:p w:rsidR="00000000" w:rsidDel="00000000" w:rsidP="00000000" w:rsidRDefault="00000000" w:rsidRPr="00000000" w14:paraId="00000029">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w:t>
            <w:tab/>
            <w:t>30</w:t>
          </w:r>
        </w:p>
        <w:p w:rsidR="00000000" w:rsidDel="00000000" w:rsidP="00000000" w:rsidRDefault="00000000" w:rsidRPr="00000000" w14:paraId="0000002A">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35</w:t>
          </w:r>
        </w:p>
        <w:p w:rsidR="00000000" w:rsidDel="00000000" w:rsidP="00000000" w:rsidRDefault="00000000" w:rsidRPr="00000000" w14:paraId="0000002B">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Hypothesis H₁</w:t>
            <w:tab/>
            <w:t>36</w:t>
          </w:r>
        </w:p>
        <w:p w:rsidR="00000000" w:rsidDel="00000000" w:rsidP="00000000" w:rsidRDefault="00000000" w:rsidRPr="00000000" w14:paraId="0000002C">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 and Hypothesis H₂</w:t>
            <w:tab/>
            <w:t>43</w:t>
          </w:r>
        </w:p>
        <w:p w:rsidR="00000000" w:rsidDel="00000000" w:rsidP="00000000" w:rsidRDefault="00000000" w:rsidRPr="0000000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"_sop4ablation" </w:instrText>
            <w:fldChar w:fldCharType="separate"/>
          </w:r>
          <w:r w:rsidDel="00000000" w:rsidR="00000000" w:rsidRPr="00000000">
            <w:rPr>
              <w:rFonts w:ascii="Times New Roman" w:cs="Times New Roman" w:eastAsia="Times New Roman" w:hAnsi="Times New Roman"/>
              <w:rtl w:val="0"/>
            </w:rPr>
            <w:t xml:space="preserve">Answers to SOP 3</w:t>
            <w:tab/>
            <w:t>47</w:t>
          </w:r>
        </w:p>
        <w:p w:rsidR="00000000" w:rsidDel="00000000" w:rsidP="00000000" w:rsidRDefault="00000000" w:rsidRPr="00000000" w14:paraId="0000002E">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w:t>
            <w:tab/>
            <w:t>54</w:t>
          </w:r>
        </w:p>
        <w:p w:rsidR="00000000" w:rsidDel="00000000" w:rsidP="00000000" w:rsidRDefault="00000000" w:rsidRPr="00000000" w14:paraId="0000002F">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56</w:t>
          </w:r>
        </w:p>
        <w:p w:rsidR="00000000" w:rsidDel="00000000" w:rsidP="00000000" w:rsidRDefault="00000000" w:rsidRPr="00000000" w14:paraId="00000030">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60</w:t>
          </w:r>
        </w:p>
        <w:p w:rsidR="00000000" w:rsidDel="00000000" w:rsidP="00000000" w:rsidRDefault="00000000" w:rsidRPr="00000000" w14:paraId="00000031">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61</w:t>
          </w:r>
        </w:p>
        <w:p w:rsidR="00000000" w:rsidDel="00000000" w:rsidP="00000000" w:rsidRDefault="00000000" w:rsidRPr="00000000" w14:paraId="00000032">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w:t>
            <w:tab/>
            <w:t>63</w:t>
          </w:r>
        </w:p>
        <w:p w:rsidR="00000000" w:rsidDel="00000000" w:rsidP="00000000" w:rsidRDefault="00000000" w:rsidRPr="00000000" w14:paraId="00000033">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w:t>
            <w:tab/>
            <w:t>67</w:t>
          </w:r>
        </w:p>
        <w:p w:rsidR="00000000" w:rsidDel="00000000" w:rsidP="00000000" w:rsidRDefault="00000000" w:rsidRPr="00000000" w14:paraId="00000034">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67</w:t>
          </w:r>
        </w:p>
        <w:p w:rsidR="00000000" w:rsidDel="00000000" w:rsidP="00000000" w:rsidRDefault="00000000" w:rsidRPr="00000000" w14:paraId="00000035">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73</w:t>
          </w:r>
        </w:p>
        <w:p w:rsidR="00000000" w:rsidDel="00000000" w:rsidP="00000000" w:rsidRDefault="00000000" w:rsidRPr="00000000" w14:paraId="00000036">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73</w:t>
          </w:r>
        </w:p>
        <w:p w:rsidR="00000000" w:rsidDel="00000000" w:rsidP="00000000" w:rsidRDefault="00000000" w:rsidRPr="00000000" w14:paraId="00000037">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74</w:t>
          </w:r>
        </w:p>
        <w:p w:rsidR="00000000" w:rsidDel="00000000" w:rsidP="00000000" w:rsidRDefault="00000000" w:rsidRPr="00000000" w14:paraId="00000038">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74</w:t>
          </w:r>
        </w:p>
        <w:p w:rsidR="00000000" w:rsidDel="00000000" w:rsidP="00000000" w:rsidRDefault="00000000" w:rsidRPr="00000000" w14:paraId="00000039">
          <w:pPr>
            <w:tabs>
              <w:tab w:val="right" w:leader="dot" w:pos="935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w:t>
            <w:tab/>
            <w:t>77</w:t>
          </w:r>
        </w:p>
        <w:p w:rsidR="00000000" w:rsidDel="00000000" w:rsidP="00000000" w:rsidRDefault="00000000" w:rsidRPr="00000000" w14:paraId="0000003A">
          <w:pPr>
            <w:tabs>
              <w:tab w:val="right" w:leader="dot" w:pos="935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77</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last thirty years. Cheaper phones and digital payments have closed much of the gap between ordinary people and financial services. The World Bank looked at 123 economies and found 76% of adults had a formal financial account by 2021, up from 51% in 2011. Most of that growth came from mobile money and e-wallets in developing countries (Demirgüç-Kunt et al., 2022). For many people these tools are not an add-on to a bank. They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biggest products of this shift. A cryptocurrency is a digital asset whose ownership is recorded on a blockchain, a shared public ledger kept by many computers instead of one bank. People can trade these assets directly, with no bank or broker in between, so all a person needs is a phone and an internet connection (Schär, 2021). In places like Magalang, Pampanga, where bank branches are few, crypto platforms are often a person's first door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are a large part of this shift, and many are learning about money by putting it to work. In the United States, a 2022 survey of adults aged 18 to 25 found that 56% already held investments. Among those investors, 55% owned cryptocurrency and 41% owned individual stocks, and nearly half said social media was their main source of investing information (FINRA Investor Education Foundation &amp; CFA Institute, 2023). The same link between knowledge and investing shows up among Filipinos. In a survey of 384 college students in Metro Manila, financial knowledge was the only significant predictor of stock market investing (Arena et al., 2023).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(Nakamoto, 2008). It trades every hour of every day. It has no circuit breakers to pause it, and no central bank or company earnings behind it. That makes its price swings bigger than most other assets. Those swings are both the main risk and the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very large buyer or seller pushes price hard in one direction, it leaves a mark on the chart. There is usually a price area where the large position was built before the move began. Smart Money Concepts, the practitioner trading framework this study borrows from, calls these areas Order Blocks; this study uses the version implemented by LuxAlgo (LuxAlgo, 2022). The term comes from trading practice, not from academic research. Academic work does support the narrower idea underneath it: large traders split big orders into pieces and time them, and this moves both resting orders and short-term price (Bessembinder et al., 2009; Biais et al., 2005). The strategy here waits for price to return to one of these areas, checks whether the pullback is losing strength, then enters, sizes its risk to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trades non-stop and reacts fast to sentiment, so company fundamentals are little help for short-term decisions. Traders use technical analysis instead: forecasting price from past price and volume (Svogun &amp; Bazán-Palomino, 2022). It rests on two ideas. Price already reflects what the market knows. People repeat their behavior, so chart patterns may repeat too. The evidence for this is mixed. Technical rules have shown predictive value in liquid crypto markets over short time frames (Corbet et al., 2019), but Fang et al. (2014) found that simple technical rules lost their predictive power when tested on data they had not been fitted to. That is why this study keeps a forward test and a holdout.</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one answers a different question about the same price series: which way is price likely to move, how hard is it moving, and where have large traders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It compares a fast moving average to a slow one and plots the gap between them as a histogram. That histogram shows whether momentum is building or fading (Chong &amp; Ng, 2008). MACD does not predict a reversal. It reports current momentum. Chong and Ng (2008) tested MACD on 60 years of London Stock Exchange data and found it produced returns higher than a simple buy-and-hold approach in most of the cases they tested. Navarro and Navarro (2023) tested MACD on 178 Philippine stocks over a 12-year period. Under the standard settings, about 35% of those stocks were consistently profitable under MACD; a faster, alternative setting raised that to about 51%. Results like these move a lot with the market and the settings used, which is part of why this study measures MACD's own contribution directly instead of assuming it. Here the slope of the MACD histogram is the momentum check: below zero but rising favors a long entry, and above zero but falling favors a short entry.</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Wu and Diao (2015) tested MACD, RSI, and KDJ together on eight years of Shanghai and Shenzhen stock data and found the combination gave a better chance of predicting short-term price moves than the market period alone would explain. Dai et al. (2020) found that KDJ and related indicators produced stock-return forecasts that were statistically and economically significant, in-sample and out-of-sample. Neither paper builds a full entry-and-exit trading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not which way. The Average True Range, introduced by Wilder (1978), does this. True range is the largest of three numbers: the current high minus the current low, the gap from the current high to the previous close, or the gap from the current low to the previous close. ATR averages that over a window and carries no bullish or bearish opinion, only a volatility reading.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does not appear in the headline return numbers the way MACD or KDJ do, because its job is not to call direction. On many trading desks a common rule is to risk the same dollar amount on every trade and let ATR set the position size, so a wider ATR means a smaller position. This study does not do that. Here ATR sets only distances: the stop-loss sits a multiple of ATR away from entry, so it is wider in a volatile market and tighter in a calm one, and the trailing and profit-taking exits are measured in ATR too. Position size never changes. Every trade uses the full account at 1x, with no borrowed money (Section E).</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tries to address this by reading raw price structure for signs of large participants instead of statistical averages. Its premise, as practitioners state it, is that large traders need resting orders on the other side to fill big positions, so price tends to come back to the area where such a position was built (LuxAlgo, 2022). That premise is a trading heuristic rather than an established research finding; the studies cited above support only the narrower point that large orders are split and timed. Order Blocks are detected here at two levels, one with a 50-candle lookback for larger swings and one with a 5-candle lookback for smaller structure, and each is judged against five quality criteria defined in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chart patterns, and other technical rules alone, or at most in pairs (Chong &amp; Ng, 2008; Corbet et al., 2019; Lv et al., 2017). We found no study that tests MACD, an adaptive KDJ exit, a dual-ATR risk framework, and Order Block detection all together, in one backtest, on cryptocurrency. That is the real gap. It is not whether any one of these tools works; each has already been shown to work alone. The open question is what combining them does to the result, for better or worse, measured against the passive options an ordinary participant would otherwise use. This study addresses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only matters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and it is the standard baseline researchers use when they study systematic retail investing (Finlay &amp; Zorn, 2023).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follow-up analyses were added after those results were fixed. Each was pre-specified before computation and added after the headline result was known: its tests, resample counts, and random seeds were written into a dated file before any of its own numbers were computed. The files are experimental/PREREGISTRATION.md and experimental/PREREGISTRATION_1H.md, both committed on 2026-10-26, and both are headed "Status: EXPLORATORY". The decision to include them in this paper was made after their results were read. The first file's primary test was a machine-learning trade filter, which failed and is reported in Limitation 14. The first analysis asks how much each of the four indicator gates contributes to the result. The second asks whether the same rules still work on 1-hour candles, which offer four times as many candles in the same period and could, in principle, give more trades. Together they make up the third research question and are answered in full in the Findings, under SOP 3.</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financial services in the Philippines has grown far faster than participation in financial markets. Account ownership among Filipino adults rose from 29% in 2019 to 56% in 2021, driven mostly by e-money accounts, which rose from 8% to 36% (Bangko Sentral ng Pilipinas, 2022). Over the same two years, investment uptake, excluding pension contributions, fell from 15% to 10%. More Filipinos can reach a market than ever before. Fewer of them are actually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gap is what this study speaks to. Open, reproducible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(United Nations, 2015). It also serves financial literacy. Young people mostly meet trading through screenshots of somebody's gains; this study shows a complete rule set tested against simple weekly saving, including where it lost. Everything here is built from publicly available data and open-source tools, so it can be reproduced anywhere.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Responsible use. This paper is a research report, not investment advice, and nothing in it recommends buying, selling, or holding Bitcoin or any other asset. Cryptocurrency carries a high risk of loss: over the window studied here, a single purchase of Bitcoin at one point stood 66.93% below its earlier peak at a daily close (Table 10). In the Philippines, platforms that exchange or hold cryptocurrency for customers are regulated by the Bangko Sentral ng Pilipinas as virtual asset service providers (Bangko Sentral ng Pilipinas, 2021), and the Philippine Securities and Exchange Commission also regulates crypto-asset service providers. Anyone who chooses to trade should use a registered platform and only money they can afford to lose. Is this gambling? No money was traded. The study tested whether fixed, published rules beat simple saving, and found that they did not, which is the opposite of a get-rich claim.</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time frames. It trades 24 hours a day, moves sharply, and forms price structure that practitioners attribute to large participants, so ordinary analysis often misses directional signals before they appear. MACD and KDJ have each shown predictive value on their own. What has not been tested is what happens when those momentum tools are combined with volatility-based risk management and Order Block detection, all together, and how the result holds up against the passive options an ordinary participant would otherwise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 xml:space="preserve">This study seeks to answer three questions, referred to below as SOP 1 to SOP 3, for Statement of the Problem:</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maximum drawdown, and time in market, and does directing a share of new weekly contributions into the strategy improve the risk-adjusted profile of an otherwise ordinary dollar-cost-averaging plan as that share rises?</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Can the strategy trade more often without giving up its return per trade, judged by how much each of the four indicator gates (a gate is one condition that must be true before a trade is allowed), namely the MACD histogram, KDJ, K-acceleration, and ATR-regime gates, contributes to average return per trade, and by whether the same rules keep a positive average return per trade after costs when run on 1-hour candles instead of 4-hour candles?</w:t>
      </w:r>
    </w:p>
    <w:p w:rsidR="00000000" w:rsidDel="00000000" w:rsidP="00000000" w:rsidRDefault="00000000" w:rsidRPr="00000000" w14:paraId="00000059">
      <w:pPr>
        <w:spacing w:after="0" w:line="480" w:lineRule="auto"/>
        <w:rPr>
          <w:rFonts w:ascii="Times New Roman" w:cs="Times New Roman" w:eastAsia="Times New Roman" w:hAnsi="Times New Roman"/>
        </w:rPr>
      </w:pPr>
      <w:bookmarkStart w:id="9100" w:name="_hypotheses"/>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bookmarkEnd w:id="9100"/>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 The combined strategy produces a statistically significant win rate above 50% on BTC/USDT 4-hour candles over the January 2022 to January 2026 test window.</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hypothesis asks whether the strategy wins more often than a coin flip by a margin too large to be luck. It is tested with a one-sided exact binomial test, specified in Section F. It is judged on the trades after a 0.20% round-trip cost, the cost a real trader would pay (Table 4). That cost basis was not written down before the gross result was known, so the gross result is reported beside it. With 27 trades the test has limited power (Limitation 2), so a result that is not significant is inconclusive rather than evidence that no edge exists.</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H₂: Blending a strategy allocation into a Bitcoin dollar-cost-averaging plan improves that plan's risk-adjusted profile, as measured by the Sharpe ratio and maximum drawdown,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hypothesis is stated formally so the direction of the claim is fixed before the numbers are seen. Its decision rule is stricter than the sentence above. A strategy sleeve sits in cash about 97% of the time, so moving part of a weekly plan into cash would also smooth it, whatever the strategy does. H₂ is therefore judged against a cash control: the same 10%, 20%, and 30% shares held as cash earning nothing. H₂ is supported only if, at every share, the strategy sleeve beats the cash sleeve on both the Sharpe ratio and maximum drawdown, after a 0.20% round-trip cost on every strategy trade and a 0.10% markup on every Bitcoin purchase. The cash control and this decision rule were added after an outside review of an earlier draft, when the blended results without the control were already known. The rule is descriptive. Formal tests for a difference between Sharpe ratios exist (Ledoit &amp; Wolf, 2008) but were not run, so no p-value is attached to H₂.</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carries no hypothesis of its own, because its two follow-up analyses were added after the headline result was known. Its gate comparison sets nine gate settings against the full rule, so nine tests run at once. With nine tests and no real effect anywhere, at least one would still fall below 0.05 about 37% of the time by luck alone, assuming the tests are independent (1 − 0.95⁹ = 0.37). Each p-value is therefore adjusted with the Holm method (Holm, 1979) before it is read, and the comparison is treated as exploratory, even though no gate setting was changed to answer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1-hour part has one pre-registered test, which is not a study hypothesis: whether the unchanged rules earn a positive average return per trade after a 0.20% round-trip cost on 1-hour BTC/USDT candles over 2022 to 2026. Its null hypothesis is H₀: μ_net ≤ 0, rejected if the one-sided p is below 0.05. The test, the number of resamples, and the random seed were all written into the pre-registration before any 1-hour indicator or trade was computed. It uses average return after costs rather than win rate, because a faster timeframe can change how large wins and losses are, not only how often they happen. The win-rate test used for H₁ is also reported for comparison.</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rules, parameters, and thresholds were set by eye from charts covering January 2018 to January 2022. The primary findings come from January 2022 to January 2026. A third and stricter test uses January 2026 to July 2026, which came after every change to the strategy code. Figure 1 shows how the three periods relate.</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First, the build period was read by eye rather than fitted numerically. The rules therefore carry whatever bias visual pattern recognition brings, and the separation cannot be measured the way a held-out split in a machine-learning study can. Second, the 2022 to 2026 window is out-of-sample for rule building but not for code checking, because the bug described in the Limitations was found while examining that window. Only the January to July 2026 test is out-of-sample in both senses.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keep the same windows, with one addition. The indicator-gate comparison in SOP 3 is run separately on the 2018 to 2022 and the 2022 to 2026 windows. The 1-hour test in SOP 3 uses 2022 to 2026 as its main window and adds a one-time holdout, 2026-08-08 to 2026-10-26, which no version of the strategy had seen. The script that reads it refuses to run a second time. Figure 1 shows the three 4-hour periods only; it does not show this 1-hour holdout.</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4-hour timestamps are UTC+8. Every timestamp in this paper follows that convention except the 1-hour data described below, which is kept in UTC. These are Binance spot BTCUSDT prices. The strategy is modelled as trading the BTCUSDT perpetual futures contract (Section E), and spot prices are used as a proxy for it; the two differ by a small, changing gap called the basis, which this study does not model. Figure 2 shows the collection and verification sequence.</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a span of exactly 1,461 days (365 + 365 + 366 + 365, the 366 covering the 2024 leap day). At six 4-hour candles a day, that is 1,461 × 6 = 8,766 intervals. The closing candle is stored as its own row, so the file holds 8,766 + 1 = 8,767 rows. A gap check found a single time difference between consecutive candles, four hours, and no duplicate timestamps. No candle is missing.</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1-hour candlestick data (Binance, via API). </w:t>
      </w:r>
      <w:r w:rsidDel="00000000" w:rsidR="00000000" w:rsidRPr="00000000">
        <w:rPr>
          <w:rFonts w:ascii="Times New Roman" w:cs="Times New Roman" w:eastAsia="Times New Roman" w:hAnsi="Times New Roman"/>
          <w:rtl w:val="0"/>
        </w:rPr>
        <w:t xml:space="preserve">For the 1-hour test in SOP 3 only, 1-hour candles were pulled once from the same public endpoint on 2026-10-26: 77,164 closed candles from 2018-01-01 00:00 to 2026-10-26 05:00. Unlike the 4-hour file these timestamps are kept in UTC, with no eight-hour shift. The feed has 27 gaps totalling 122 missing hours, all but one in 2018 to 2021, and they are left unfilled, the same as the 4-hour data. As a check, the 1-hour candles were combined back into 4-hour candles and compared with the 4-hour file: 18,826 of 18,828 matched exactly. One of the other two sits on a missing hour, and the other is the 4-hour file's last candle, which was still open when that file was saved.</w:t>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True Range (Wilder, 1978).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verification dashboard. A separately written JavaScript dashboard recomputes the indicator and entry-condition layer in the browser, as a cross-check from a second codebase. Its scope is deliberately narrow. It does not detect Order Blocks, Fair Value Gaps, or liquidity sweeps, and it imports nothing from the Python analysis. That independence is why the two bootstrap intervals in the Findings are reported separately rather than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How capital is allocated over one identical stretch of price history, at six levels. Three are standalone arms: the Order-Block-gated strategy alone, weekly dollar-cost averaging into Bitcoin, and one lump-sum purchase held to the end. Three are blends that put 10%, 20%, and 30% of new weekly contributions into the strategy and dollar-cost average the rest. The 0% blend is the same arm as pure weekly averaging and appears as the blended model's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return before and after costs,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analyses. </w:t>
      </w:r>
      <w:r w:rsidDel="00000000" w:rsidR="00000000" w:rsidRPr="00000000">
        <w:rPr>
          <w:rFonts w:ascii="Times New Roman" w:cs="Times New Roman" w:eastAsia="Times New Roman" w:hAnsi="Times New Roman"/>
          <w:rtl w:val="0"/>
        </w:rPr>
        <w:t xml:space="preserve">In the gate comparison of SOP 3 the independent variable is which entry gates are switched on, at nine settings plus the full rule. In its 1-hour test it is the candle interval, at three levels: 4-hour, 1-hour with every setting unchanged (the literal version), and 1-hour with every window stretched four times (the time-scaled version). The dependent variables are trade count, trades per year, win rate, and average and total return per trade before and after a 0.20% round-trip cost. Every threshold in Table 1, every exit rule, and the Order Block detection code are held fixed.</w:t>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MACD (12, 26, 9). Momentum confirmation comes from the gap between a fast and a slow exponential moving average. Every value uses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(9, 3, 3), the fixed entry gate. Computed once over the whole dataset. It does not vary from trade to trade, and every K, D, and J reference inside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the adaptive exit series. A second system that exists only to time one exit signal after a trade is open. It never shares state with the fixed series above. At entry it is seeded from that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detection.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pass a candle becomes a pivot high only by right-side comparison: its high must exceed every high that follows it, up to the breakout candle. A pivot low is the mirror. No future candle is read. A break of structure is flagged when price closes across a tracked pivot level. An Order Block is then created from the price segment between the pivot candle and the candle whose close confirms the break. Two candles are tracked separately on purpose: the one holding the Order Block's own extreme, and the one where the breakout closes. An Order Block cannot trigger an entry until strictly after its confirmation candle. Order Blocks expire after 500 candles, or as soon as price closes back through their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quality criteria.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the Order Block's candle is at least ATR₂₀₀ at that candle, meaning the block's own candle is at least as tall as the long-run average candle.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 (never fires; see note)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 Every value was set during the 2018 to 2022 formulation period and was never adjusted afterwards; no dated record of when the values were fixed survives (Limitation 3). The breakeven-stop trigger never fires. The ATR-move exit at 1.8 times ATR is checked first, so any trade whose close moves 2.0 times ATR in its favour has already exited before the breakeven rule is reached. The rule is kept as frozen and changes no result in this paper.</w:t>
      </w:r>
      <w:r w:rsidDel="00000000" w:rsidR="00000000" w:rsidRPr="00000000">
        <w:rPr>
          <w:rFonts w:ascii="Times New Roman" w:cs="Times New Roman" w:eastAsia="Times New Roman" w:hAnsi="Times New Roman"/>
          <w:sz w:val="20"/>
          <w:szCs w:val="20"/>
          <w:rtl w:val="0"/>
        </w:rPr>
        <w:t xml:space="preserve"/>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conditions. A long entry needs all six conditions in Figure 4 to hold at the same candle close, and the trade is entered at that candle's closing price. A short entry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conditions. Exits are checked on every candle in the fixed order shown in Figure 5. The first condition met triggers the exit and the rest are not checked for that candle. Every exit, including the stop-loss, is checked against the candle's closing price and filled at that close. A real stop order would fill as soon as price touched the stop, even inside a candle, so this close-based stop can miss a stop that price touched and then left, and can book a loss larger than the stop distance. Table 5 reruns the 27 trades with the stop checked against each candle's high and low.</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Time-scaled 1-hour version (1-hour test in SOP 3 only). </w:t>
      </w:r>
      <w:r w:rsidDel="00000000" w:rsidR="00000000" w:rsidRPr="00000000">
        <w:rPr>
          <w:rFonts w:ascii="Times New Roman" w:cs="Times New Roman" w:eastAsia="Times New Roman" w:hAnsi="Times New Roman"/>
          <w:rtl w:val="0"/>
        </w:rPr>
        <w:t xml:space="preserve">An hour is a quarter of a 4-hour candle. In the time-scaled version every window counted in candles is multiplied by four, so it spans the same clock time as on 4-hour candles: MACD (48, 104, 36), a KDJ window of 36, ATR windows of 56 and 800, pivot lookbacks of 20 and 200, and an Order Block expiry of 2,000 candles. Pattern shapes and price thresholds are not windows and stay as in Table 1: the two-candle MACD rise, the three-candle K-acceleration and its range, the stop-loss and reward-to-risk minimums, the exit multiples, and the Order Block quality windows. The literal version changes nothing, so each of its windows covers a quarter of the clock time it covers on 4-hour candles.</w:t>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10 through 13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Head-to-head arms. Each starts from $10,000. The strategy arm holds the full amount in cash from the first bar. While a trade is open, its value is marked to market at every candle close: the account value at entry times one plus the trade's percentage move since entry, with the sign flipped for a short. At the exit candle this equals the trade's booked return, so marking changes no final value. Each trade commits the full amount; positions are unlevered and never partly sized. Trades are modelled as BTCUSDT USDT-M perpetual futures, a contract that tracks Bitcoin's price and has no expiry date, at 1x, meaning no borrowed money: the strategy goes short, betting on a fall, as well as long (12 of the 27 trades are shorts), which a spot account cannot do, and its cost model uses the Binance USDT-M Futures taker fee. Between trades the arm sits in cash and earns nothing.</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Each contribution buys at that bar's close. Value at any bar is units held times the current close. Returns are measured net of any contribution made in the same period,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V_k is the arm's value at the k-th daily close and C_k is the contribution made since the previous daily close, which is zero on six days in every seven. The lump-sum arm buys the full $10,000 at the first bar's opening price, not the close the averaging arm uses, and holds to the last bar's close.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One clock for Sharpe and drawdown. Every arm in Tables 10 to 13 is valued at each daily close, taken as the last 4-hour candle of each UTC day, and its daily returns are annualized with m = 365, since Bitcoin trades every day of the year. Measuring every arm on the same clock matters here: on 4-hour candles most of the strategy's returns are exact zeros from idle cash, while the averaging arm only changes hands weekly, so ratios taken at each arm's own frequency cannot be compared directly. Maximum drawdown is taken on the same daily-close values for every arm and every blend, so the strategy's open trades count toward its drawdown. On that clock the averaging arm's worst fall, −36.02%, comes in June 2022, after only 25 weekly contributions, when its still-small balance fell with Bitcoin. Sampled only at its weekly contribution candles, as in earlier drafts, its worst fall was −27.85%, in late 2025.</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reconciliation applies wherever the strategy arm appears. Its Total return column is the arithmetic sum of the individual trade returns, the convention behind the +30.31% headline throughout this paper. Its Final capital column instead compounds those same returns in sequence from the $10,000 start. Compounded, the strategy returns +34.18% over the primary window, which is what produces $13,417.77. The two passive arms hold one position throughout, so no such gap arises for them.</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11,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model. Contributions here are 1.0 relative unit per week across 210 weeks, not dollars. Table 13 therefore has no dollar column and should not be read against the $10,000 used elsewhere. In the 100% / 0% baseline the full unit buys Bitcoin at that bar's close. At a strategy share f of 0.10, 0.20, or 0.30, the remaining share buys Bitcoin and f goes into a strategy sleeve. The sleeve's cash goes into each trade at that trade's entry candle and is marked to market while the trade is open, as in the strategy arm. A contribution that arrives while a trade is open waits as cash until that trade exits. The sleeve is never moved back into Bitcoin. In the cash control the same share f is held as cash earning nothing. Portfolio value at any daily close is Bitcoin units times the close, plus the sleeve. Sharpe uses that value at every daily close, net of any contribution that day, annualized with m = 365, and maximum drawdown is taken on the same daily values and includes principal. Table 13 is net of costs: 0.20% is taken off every strategy trade and every Bitcoin purchase pays a 0.10% markup. Gross rows are shown as a sensitivity check.</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13's net 100% / 0% row and Table 11's Weekly DCA row give the same Sharpe of 0.555 and the same maximum drawdown of −36.02%, and its gross row matches Table 10's 0.558 and −36.02%, because all of them use the same weekly rule. The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approach is exploratory data analysis (Tukey, 1977): descriptive statistics, distribution summaries, and table comparison, used to find patterns before drawing conclusions. It suits this case because the backtest output is a finite, fully observed set of trade records with no missing values. The descriptive statistics reported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whose routines are used across published quantitative research (Virtanen et al., 2020). The standard tests here are therefore library code, not this study's own, which removes a whole class of possible arithmetic error.</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uses nine core statistical procedures (Table 2). Three are unmodified SciPy calls. Six are formulas written for this study, either because no single library function computes them or because they follow this study's own resampling design. Sharpe and maximum drawdown are descriptive measures, not hypothesis tests, and no p-value is attached to either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Stationary block bootstrap p-value and interval on average return (SOP 3, 1-hour test; SOP 1 after-cost check)</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4</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difference in average return between two trade sets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5</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Holm adjustment for nine simultaneous tests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6</w:t>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to 6.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p-value is the chance of 19 or more wins out of 27 if each trade were a fair coin flip. Win rate alone is not edge: a strategy can win often and still lose money if its losses are larger, so average return per trade is reported beside it. The one-sided form was chosen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Pearson's r and Spearman's ρ were computed between how long a trade was held, in candles, and its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to be safe. The bootstrap assumes nothing about the shape of the distribution; it uses the data's own shape instead (Efron &amp; Tibshirani, 1993). Drawing exactly n values with replacement follows Efron, so the spread between resamples reflects sampling uncertainty rather than a changed sample size. The parameters are B = 10,000, n = 27, and a fixed seed of 42, so the figure is exactly reproducible. This is the plain percentile bootstrap, not the bias-corrected and accelerated version. That is a choice, not the only option.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Drawdown is a percentage, not dollars, so the three arms can be compared directly despite very different equity-curve shapes. Tracking the running peak, rather than comparing only the final value to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every arm in this paper uses daily returns, so m = 365:</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 measures the return an arm earned per unit of the variability it went through, so a higher value means a smoother ride for the same return (Sharpe, 1994). It is computed here with the risk-free rate set to zero, using raw per-period returns rather than returns in excess of a benchmark rate.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w:t>
      </w:r>
      <w:r w:rsidDel="00000000" w:rsidR="00000000" w:rsidRPr="00000000">
        <w:rPr>
          <w:rFonts w:ascii="Times New Roman" w:cs="Times New Roman" w:eastAsia="Times New Roman" w:hAnsi="Times New Roman"/>
          <w:rtl w:val="0"/>
        </w:rPr>
        <w:t xml:space="preserve">Trades that follow each other can share the same market mood, so drawing them one at a time, as Formula 1 does, can understate the uncertainty. The stationary bootstrap (Politis &amp; Romano, 1994) instead copies runs of consecutive trades. Starting from a random trade, each next draw continues the current run with probability 1 − 1/L or jumps to a new random trade with probability 1/L, wrapping from the last trade back to the first, until n returns are drawn. L, the expected run length, is n^(1/3) rounded, which gives L = 3 for 31 trades. With B = 10,000 resamples and seed 20260808, the bootstrap one-sided p (percentile method) is the share of resample means at or below zero, and the 95% interval is the 2.5th and 97.5th percentiles of those means. It is used for the pre-registered 1-hour test and, with seed 42, for the after-cost check on the 27 four-hour trades in SOP 1, where L = 3 as well.</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average return. </w:t>
      </w:r>
      <w:r w:rsidDel="00000000" w:rsidR="00000000" w:rsidRPr="00000000">
        <w:rPr>
          <w:rFonts w:ascii="Times New Roman" w:cs="Times New Roman" w:eastAsia="Times New Roman" w:hAnsi="Times New Roman"/>
          <w:rtl w:val="0"/>
        </w:rPr>
        <w:t xml:space="preserve">Each gate setting trades a different set of trades from the full rule, so the two sets cannot be paired. For each of B = 2,000 repetitions, one resample is drawn with replacement from each set at its own size, and the difference between the two resample means is recorded. The 95% interval is the 2.5th and 97.5th percentiles of those differences. The two-sided p-value is twice the smaller of the shares of differences at or below zero and at or above zero, capped at 1. The two sets share many of the same trades, so treating them as independent overstates the noise in the difference. That makes the test conservative: it can miss a real difference but is unlikely to invent one.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t>
      </w:r>
      <w:r w:rsidDel="00000000" w:rsidR="00000000" w:rsidRPr="00000000">
        <w:rPr>
          <w:rFonts w:ascii="Times New Roman" w:cs="Times New Roman" w:eastAsia="Times New Roman" w:hAnsi="Times New Roman"/>
          <w:rtl w:val="0"/>
        </w:rPr>
        <w:t xml:space="preserve">Sort the m = 9 raw p-values from smallest to largest, p₍₁₎ ≤ … ≤ p₍ₘ₎. The adjusted value for the i-th is the largest of (m − j + 1) × p₍ⱼ₎ over every j up to i, capped at 1. The smallest p-value is multiplied by 9, the next by 8, and so on, and an adjusted value is never allowed to fall below the one before it (Holm, 1979). A result counts as significant only if its adjusted value is below 0.05.</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analyses. The headline result was recomputed under six cost scenarios and rerun with the stop-loss checked against each candle's high and low instead of its close (Table 5). Every arm in the passive comparison was valued at daily closes, with the strategy's open trades marked to market (Section E). It was compared against the two passive alternatives both gross and net of fees, and re-run on data that came after the code was finished. The binomial test is re-run in full on each fee-adjusted trade set rather than adjusted from the gross p-value. Both follow-up analyses use a single-trade simulator that runs the same exit rules from any entry candle; with all four gates on it reproduces all 27 baseline trades exactly, and on 1-hour data it reproduces every trade the main engine makes.</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A golden-master regression harness recomputes the indicators and the full simulation from raw candle data. It requires exact agreement with committed reference files: indicators to a tolerance of 10⁻⁶, and all 27 trade records exactly. It runs after every code change. Truncation-equality testing on the ATR(14), ATR(200), and fixed KDJ(9,3,3) series passed 180 of 180 sampled checks.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Each subsection opens with a direct answer, then gives the evidence behind it. Interpretation is held back to the Conclusions. Appendix A traces every number here to the function that produced it, and Appendix D shows how to recompute by hand each number that can be recomputed by hand.</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Hypothesis H₁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14, under Statement of the Problem.</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before costs, no after them. The strategy won 70.37% of 27 trades for a +30.31% total return before costs at p = 0.0261. Charging a realistic 0.20% round trip moves p to 0.1239, so H₁ is not supported (inconclusive at this sample size) once costs a real trader would pay are charged. After costs the total return is still positive, +24.91%, but the bootstrap interval that allows for runs of related trades reaches below zero. Checking stops against candle highs and lows instead of closes moves p to 0.0610 even before costs.</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return, before costs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 trade were a fair coin flip, 19 or more wins out of 27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C.</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interval. A bootstrap of 10,000 resamples, drawn at the original sample size of 27 with a fixed seed of 42, gives a point estimate of +30.31% total return, the observed sum of the 27 returns. Appendix C prints each return to four decimals, so its rows add to +30.3064%, while the unrounded sum is +30.3065%. The 95% confidence interval is [+5.99%, +54.99%]. It is wide but excludes zero, and 99.25% of resampled totals were positive. The matching interval for average return per trade is [+0.22%, +2.04%].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After costs. </w:t>
      </w:r>
      <w:r>
        <w:rPr>
          <w:rFonts w:ascii="Times New Roman" w:cs="Times New Roman" w:eastAsia="Times New Roman" w:hAnsi="Times New Roman"/>
          <w:rtl w:val="0"/>
        </w:rPr>
        <w:t xml:space="preserve">The same bootstrap applied to the 27 returns after the 0.20% round-trip cost gives a 95% interval on total return of [+0.59%, +49.59%], and 2.27% of resampled totals were at or below zero. That resampling draws trades one at a time, so it treats them as unrelated. Trades close together in time can share the same market mood, so the after-cost returns were also resampled in runs of consecutive trades with the stationary block bootstrap (Formula 4, L = 3, seed 42). That interval is [−1.29%, +49.96%] on total return and [−0.05%, +1.85%] on average return per trade, and 3.20% of resampled totals were at or below zero. The interval includes zero. Before costs the same block bootstrap gives [+4.11%, +55.36%], which excludes it. The strategy's return is therefore positive before costs, but after a 0.20% round trip it cannot be separated from zero once related trades are allowed for.</w:t>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sensitivity. Six scenarios were run: gross, fee-only, and four spanning 0.14% to 0.40% round trip. The confirmed Binance USDT-M Futures standard taker rate is 0.05% per side, giving 0.10% for a round trip, and slippage was modelled separately at 0.05% per side. That slippage may be optimistic for stop-loss exits in fast-moving candles.</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flip, shown in Figure 6, comes from exactly two trades, those at candle indices 7938 and 8188, worth +0.12% and +0.13% before costs, crossing from winners into losers. The smallest winner, trade 7938, earned +0.1196% before costs, so the win rate stays significant only while the all-in round-trip cost is below about 0.12%.</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Funding. </w:t>
      </w:r>
      <w:r>
        <w:rPr>
          <w:rFonts w:ascii="Times New Roman" w:cs="Times New Roman" w:eastAsia="Times New Roman" w:hAnsi="Times New Roman"/>
          <w:rtl w:val="0"/>
        </w:rPr>
        <w:t xml:space="preserve">Perpetual futures also charge or pay a funding rate every eight hours, which the cost scenarios above do not include. Using Binance's published BTCUSDT funding-rate history, the 27 trades were open across 114 funding settlements. Long trades paid a combined 0.175 percentage points and short trades received 0.287, a net credit of 0.112 points. With the 0.20% round-trip cost and funding together, total return is +25.02% instead of +24.91%, the win count stays at 17 of 27, and p stays at 0.1239. No single trade's funding exceeded 0.06%, so funding does not change any result in this paper.</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Stop-loss check. </w:t>
      </w:r>
      <w:r>
        <w:rPr>
          <w:rFonts w:ascii="Times New Roman" w:cs="Times New Roman" w:eastAsia="Times New Roman" w:hAnsi="Times New Roman"/>
          <w:rtl w:val="0"/>
        </w:rPr>
        <w:t xml:space="preserve">The engine checks the stop-loss only at each candle's close (Section D). Table 5 reruns the same 27 entries with the stop checked against each candle's high and low instead, filled at the stop price, or at the candle's open when price gapped through it. Every other exit rule is unchanged, so only the stop can change, and the trade set stays at 27. Six trades change. Trade 902 turns from a +3.22% winner into a −1.61% loser, because price touched its stop inside a candle before the move that closed it as a winner. Trades 335 and 3196 lose more, −2.31% and −1.82% instead of −0.66% and −0.78%. Trade 2624 loses less, −2.68% at its stop instead of −4.65% at the close, and trades 3947 and 6109 change by less than 0.1 points. With high-low stops the strategy wins 18 of 27 trades before costs, +24.85% in total, at p = 0.0610, so the win rate is no longer significant even before costs. After the 0.20% cost it wins 16, +19.45%, at p = 0.2210. The close-based stop therefore flatters the reported win rate.</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Stop-Loss Check at Candle Close Versus Candle High and Low</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checked at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(as reported)</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(as reported)</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and low</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66.67%</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+24.85%</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and low</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59.26%</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+19.45%</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0.2210</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Only the stop-loss check changes. Entries and every other exit rule are as in the baseline, so the trade set stays at the same 27 entries. A stop touched inside a candle is filled at the stop price, or at the candle's open if price opened beyond the stop. Prices are Binance spot candles, as everywhere in this paper. Each row re-runs the one-sided binomial test against a 50% win rate.</w:t>
      </w:r>
      <w:r w:rsidDel="00000000" w:rsidR="00000000" w:rsidRPr="00000000">
        <w:rPr>
          <w:rtl w:val="0"/>
        </w:rPr>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time and return. Across the same 27 trades, Pearson's r = +0.4907 with t = 2.82, df = 25, and p ≈ 0.0094. Spearman's ρ = +0.4797 with p ≈ 0.0113. Trades held longer tended to end up larger. Pearson's r is significant at the 1% level and Spearman's ρ at the 5% level only. The link largely reflects the exit design, since stops cut losing trades early while winners are allowed to run, so it is descriptive rather than evidence of a separate effect.</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A forward out-of-sample test used 4-hour data from 2026-01-01 to 2026-07-31, a period that came after every change to the strategy code, run through the identical frozen pipeline after first confirming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If the true win rate were the 70.37% seen in 2022 to 2026, one win or fewer in four trades would still happen about 8% of the time (p = 0.081), so four trades cannot show that the edge has gone either.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because about half of it comes from the period the rules were built on. The strategy does worse on its own build data, at 60.00% and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 and Hypothesis H₂</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14, under Statement of the Problem.</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weekly buying won on final value by a wide margin, and the strategy won on risk-adjusted shape while holding a position only 2.63% of the time. Both are true and neither settles the comparison alone. Putting part of a weekly plan into the strategy, rather than replacing the plan, improved its risk-adjusted profile after costs at every share tested, and beat holding the same share as cash on both measures, which supports H₂ (Table 13). The margin over cash is small.</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1.1440</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0.5581</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 Sharpe and maximum drawdown use each arm's value at every daily close, with the strategy's open trades marked to market; Sharpe is annualized with m = 365 (Section E). The weekly arm's value is measured at its last contribution candle, 2025-12-29. Time in market for the strategy is 2.6349% of candles.</w:t>
      </w:r>
      <w:r w:rsidDel="00000000" w:rsidR="00000000" w:rsidRPr="00000000">
        <w:rPr>
          <w:rFonts w:ascii="Times New Roman" w:cs="Times New Roman" w:eastAsia="Times New Roman" w:hAnsi="Times New Roman"/>
          <w:sz w:val="20"/>
          <w:szCs w:val="20"/>
          <w:rtl w:val="0"/>
        </w:rPr>
        <w:t xml:space="preserve">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029"/>
            <wp:effectExtent b="0" l="0" r="0" t="0"/>
            <wp:docPr id="7" name="image2.png"/>
            <a:graphic>
              <a:graphicData uri="http://schemas.openxmlformats.org/drawingml/2006/picture">
                <pic:pic>
                  <pic:nvPicPr>
                    <pic:cNvPr id="0" name="fig07_equity_mtm.png"/>
                    <pic:cNvPicPr preferRelativeResize="0"/>
                  </pic:nvPicPr>
                  <pic:blipFill>
                    <a:blip r:embed="rId24"/>
                    <a:srcRect b="0" l="0" r="0" t="0"/>
                    <a:stretch>
                      <a:fillRect/>
                    </a:stretch>
                  </pic:blipFill>
                  <pic:spPr>
                    <a:xfrm>
                      <a:off x="0" y="0"/>
                      <a:ext cx="5943600" cy="3350029"/>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0.9456</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0.5552</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0.5534</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10,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buying beat the strategy on final value, $22,312.94 against $13,417.77 gross and $22,290.65 against $12,719.01 after costs (Figure 7). Measured on the same daily clock, the strategy's gross Sharpe of 1.1440 exceeds buy-and-hold Bitcoin's 0.5534 and weekly buying's 0.5581 over the same window,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(daily)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10,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shown for comparison only. Bitcoin's 2018 to 2022 window held a much bigger fall-and-recovery cycle than 2022 to 2026, which mechanically favours weekly buying by lowering its average purchase price.</w:t>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After costs, both risk-adjusted measures improve at every step as the strategy share rises from 0% to 30%, and at every share the strategy sleeve beats the cash sleeve on both Sharpe and drawdown, which is the decision rule set with H₂. The gross rows show the same pattern.</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Plan: Strategy Sleeve Versus Cash Sleeve</w:t>
      </w:r>
      <w:r w:rsidDel="00000000" w:rsidR="00000000" w:rsidRPr="00000000">
        <w:rPr>
          <w:rtl w:val="0"/>
        </w:rPr>
      </w:r>
    </w:p>
    <w:tbl>
      <w:tblPr>
        <w:tblStyle w:val="Table12"/>
        <w:tblW w:w="9360.0" w:type="dxa"/>
        <w:jc w:val="left"/>
        <w:tblInd w:w="-160.0" w:type="dxa"/>
        <w:tblLayout w:type="fixed"/>
        <w:tblLook w:val="0000"/>
      </w:tblPr>
      <w:tblGrid>
        <w:tblGridChange w:id="0">
          <w:tblGrid>
            <w:gridCol w:w="3120"/>
            <w:gridCol w:w="3120"/>
            <w:gridCol w:w="3120"/>
          </w:tblGrid>
        </w:tblGridChange>
        <w:gridCol w:w="2620"/>
        <w:gridCol w:w="1685"/>
        <w:gridCol w:w="1685"/>
        <w:gridCol w:w="1685"/>
        <w:gridCol w:w="1685"/>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strategy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cash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strategy sleeve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 cash sleeve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 net</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 net</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0.576</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 net</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0.598</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 net</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0.621</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0.606</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 gross</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0.632</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−27.34%</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rows charge 0.20% on every strategy trade and a 0.10% markup on every Bitcoin purchase; gross rows charge nothing and are a sensitivity check. The cash sleeve holds the same share as cash earning nothing. Every value is taken at daily closes, with the strategy sleeve's open trades marked to market, over 210 weekly contributions in 2022 to 2026, under the construction in Section E. Maximum drawdown includes principal. The Sharpe ratio assumes a risk-free rate of zero. The table measures how smooth the plan was, not how much money it ended with.</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Strategy Sleeve Versus Cash Sleeve Across Increasing Allocations, Net of Costs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9544"/>
            <wp:effectExtent b="0" l="0" r="0" t="0"/>
            <wp:docPr id="9" name="image8.png"/>
            <a:graphic>
              <a:graphicData uri="http://schemas.openxmlformats.org/drawingml/2006/picture">
                <pic:pic>
                  <pic:nvPicPr>
                    <pic:cNvPr id="0" name="fig08_blend_cash.png"/>
                    <pic:cNvPicPr preferRelativeResize="0"/>
                  </pic:nvPicPr>
                  <pic:blipFill>
                    <a:blip r:embed="rId25"/>
                    <a:srcRect b="0" l="0" r="0" t="0"/>
                    <a:stretch>
                      <a:fillRect/>
                    </a:stretch>
                  </pic:blipFill>
                  <pic:spPr>
                    <a:xfrm>
                      <a:off x="0" y="0"/>
                      <a:ext cx="5943600" cy="3209544"/>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costs, Sharpe rises from 0.555 to 0.621 and maximum drawdown shallows from −36.02% to −26.43% as the strategy share rises to 30% (Figure 8). Holding the same 30% as cash gives 0.585 and −27.34%, so the strategy sleeve beats cash on both, by 0.036 in Sharpe and 0.90 points in drawdown; at 10% the drawdown margin is only 0.18 points. Most of the drawdown improvement comes from holding part of the plan out of Bitcoin at all. The conclusion is bounded as stated with the hypothesis: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4ablation" w:id="9001"/>
      <w:bookmarkEnd w:id="9001"/>
      <w:r w:rsidDel="00000000" w:rsidR="00000000" w:rsidRPr="00000000">
        <w:rPr>
          <w:rFonts w:ascii="Times New Roman" w:cs="Times New Roman" w:eastAsia="Times New Roman" w:hAnsi="Times New Roman"/>
          <w:color w:val="000000"/>
          <w:rtl w:val="0"/>
        </w:rPr>
        <w:t xml:space="preserve">Answers to SOP 3</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research questions are stated on page 14, under Statement of the Problem.</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gate results are directionally consistent but not significant. Switching off any one gate lowered average return per trade in both windows, by 0.31 to 0.89 percentage points in 2022 to 2026, but no difference survived the Holm correction, and the 2018 to 2022 agreement is in-sample. Running the same rules on 1-hour candles, covered after Table 15, did not raise trade count without losing money per trade either.</w:t>
      </w: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entry rule has four indicator gates on top of the Order Block touch: the MACD histogram gate, the KDJ gate, the K-acceleration gate, and the ATR-regime gate (Figure 4). The Order Block touch, the minimum stop distance, and the minimum reward-to-risk check stay on in every setting. Only gates are switched off, and no threshold is changed. Four settings remove one gate each, four keep one gate only, and a ninth adds an Order Block quality filter of at least 1 to the full rule. That ninth setting is not an indicator, but it was part of the same pre-registered family of nine, so it stays in the Holm correction. With all four gates on, the comparison code reproduces the 27 baseline trades exactly.</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14</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2022 to 2026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58.90%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+0.236%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+2.65%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−0.886 [−1.97, +0.16]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56.60%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+0.411%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+11.18%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−0.712 [−1.80, +0.31]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0.664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60.87%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+18.42%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−0.522 [−1.77, +0.71]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0.427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68.57%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+0.813%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+21.45%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−0.310 [−1.49, +0.84]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0.582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49.12%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−1.160 [−2.15, −0.10]</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50.59%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−0.099%</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−1.221 [−2.27, −0.24]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0.135</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56.70%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+31.38%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−0.782 [−1.75,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−1.044 [−1.96,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+23.31%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+0.010 [−1.31, +1.39]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0.975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Average return per trade is gross of costs; total return subtracts 0.20% from every trade. The change column is each setting's average minus the baseline's +1.122%, with a 95% interval from Formula 5 (B = 2,000). p (Holm) adjusts the nine p-values together using Formula 6. Each setting trades a different set of trades, one position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MACD costs the most per trade, 0.886 points, and removing the ATR-regime gate the least, 0.310 points. Keeping one gate only costs between 0.782 and 1.221 points. Three single-gate settings have intervals that exclude zero, MACD only, KDJ only, and ATR regime only, with raw p-values of 0.032, 0.015, and 0.023. After the Holm correction those become 0.224, 0.135, and 0.184, so none of them can be separated from chance once nine tests are counted. Adding the Order Block quality filter changes almost nothing, +0.010 points on 25 trades.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settings stand out descriptively and are reported as they came. K-acceleration alone took 224 trades and returned +31.38% net of costs, more than the full rule's +24.91%, but it earned +0.140% per trade after costs against +0.922%, and its maximum drawdown was −45.60% against −7.78%, both measured per candle on realized trade exits as in the gate comparison, not on the daily marked-to-market basis of Table 11. On the 2018 to 2022 window the same setting lost −118.23% net over 250 trades, so the result reversed between windows. Removing the ATR-regime gate gave 35 trades instead of 27 at a 68.57% win rate and +21.45% net, the closest to the full rule among the gate removals by average return per trade, and it was also the closest on 2018 to 2022, at 36 trades and +17.66% net against the baseline's +16.82%. Neither is a finding. Each is a candidate a future pre-registered test could check on new data.</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2018 to 2022 Formulation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80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−1.197 [−2.66, +0.26]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54.00%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+16.62%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 [−1.88, +1.29]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0.678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+0.258%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+2.92%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−0.615 [−2.25, +0.94]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0.451</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+17.66%</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−0.182 [−1.78, +1.42]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48.67%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−1.094 [−2.47, +0.25]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49.48%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−43.09%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−0.897 [−2.16, +0.47]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50.80%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−118.23%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−1.146 [−2.40, +0.18]</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0.837</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−77.93%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−0.872 [−2.14, +0.43]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59.09%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+0.968%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+0.095 [−1.62, +1.86]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14. The rules were formulated on this window, so it is not out-of-sample for them. The baseline here is the 25 formulation-window trades of Table 9.</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Change in Average Return per Trade When Indicator Gates Are Switched Off</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25832"/>
            <wp:effectExtent b="0" l="0" r="0" t="0"/>
            <wp:docPr id="5001" name="Figure 5001"/>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25832"/>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agrees across the two windows (Figure 9): every removal lowers average return per trade in both. The 2018 to 2022 agreement is in-sample, since the rules were set by eye on that window, so it is expected rather than a confirmation. The sizes do not agree closely, and no interval in 2018 to 2022 excludes zero. The same nine settings were also run once on January 1 to August 7, 2026, a period that covers the January to July forward test and runs up to the start of the 1-hour holdout, where the full rule made four trades. Every interval there spans zero and every Holm p-value is 1.000, so that run adds nothing either way.</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candles: no. </w:t>
      </w:r>
      <w:r w:rsidDel="00000000" w:rsidR="00000000" w:rsidRPr="00000000">
        <w:rPr>
          <w:rFonts w:ascii="Times New Roman" w:cs="Times New Roman" w:eastAsia="Times New Roman" w:hAnsi="Times New Roman"/>
          <w:rtl w:val="0"/>
        </w:rPr>
        <w:t xml:space="preserve">On 1-hour candles the unchanged rules made 31 trades over 2022 to 2026, only four more than on 4-hour candles, and lost an average of 0.179% per trade after costs. The pre-registered one-sided p is 0.696, so the test finds no positive return. The time-scaled version made 14 trades and also lost money per trade.</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Same Rules on 4-Hour and 1-Hour Candles, 2022 to 2026</w:t>
      </w:r>
    </w:p>
    <w:tbl>
      <w:tblPr>
        <w:tblStyle w:val="Table4"/>
        <w:tblW w:w="9560" w:type="dxa"/>
        <w:jc w:val="left"/>
        <w:tblInd w:w="-160.0" w:type="dxa"/>
        <w:tblLayout w:type="fixed"/>
        <w:tblLook w:val="0000"/>
      </w:tblPr>
      <w:tblGrid>
        <w:gridCol w:w="1250"/>
        <w:gridCol w:w="760"/>
        <w:gridCol w:w="800"/>
        <w:gridCol w:w="800"/>
        <w:gridCol w:w="900"/>
        <w:gridCol w:w="900"/>
        <w:gridCol w:w="900"/>
        <w:gridCol w:w="1350"/>
        <w:gridCol w:w="850"/>
        <w:gridCol w:w="1050"/>
      </w:tblGrid>
      <w:tr>
        <w:trPr>
          <w:cantSplit w:val="0"/>
          <w:tblHeader w:val="1"/>
        </w:trPr>
        <w:tc>
          <w:tcPr>
            <w:tcW w:w="12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Version</w:t>
            </w:r>
          </w:p>
        </w:tc>
        <w:tc>
          <w:tcPr>
            <w:tcW w:w="7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 per year</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gross</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net</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net</w:t>
            </w:r>
          </w:p>
        </w:tc>
        <w:tc>
          <w:tcPr>
            <w:tcW w:w="13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95% CI, avg net</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avg net &gt; 0</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Binomial p</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4-hour (paper)</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[+0.022, +1.837]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0.0261</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literal (primary)</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−0.179%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[−0.834, +0.566]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0.8595</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time-scaled ×4</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14</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3.50</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57.14%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−3.86%</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[−1.174, +0.647]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0.3953</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figures subtract a 0.20% round-trip cost from every trade. For the 1-hour rows, the interval and p-value come from Formula 4 (B = 10,000, seed 20260808); the literal row's p is the pre-registered 1-hour test, and the time-scaled row's is descriptive. The 4-hour interval is the paper's Formula 1 interval on average return shifted down by the constant 0.20% cost; resampling the same net returns in runs with Formula 4 (seed 42) gives [−0.048, +1.850] instead. No average-return p-value was pre-registered for it. Binomial p is the one-sided win-rate test of Table 3, counted on gross wins in every row, as in Table 3.</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and Net Return per Trade on 4-Hour and 1-Hour Candles</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7603"/>
            <wp:effectExtent b="0" l="0" r="0" t="0"/>
            <wp:docPr id="5002" name="Figure 5002"/>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4760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1-hour literal version earned 1.101 points less per trade than the 4-hour rules, with a 95% interval of [−2.21, −0.002] and a two-sided p of 0.049 (Figure 10). That comparison is descriptive and was not corrected for the second one beside it, −1.198 points for the time-scaled version, p = 0.096. Its win rate, 41.94%, is below a coin flip, and the binomial p of 0.8595 says the same.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gates do not help on 1-hour candles. Of 1,570 Order Block touches with a valid stop and reward-to-risk over 2022 to 2026, the four gates let 49 through, 3.12%. Picking candidates at random at that same rate, 1,000 times over, matched or beat the gates' average return per trade in 63.3% of runs. Taking every candidate gave 500 trades and −62.71% after costs. On 4-hour candles removing any one gate lowered return per trade (Tables 14 and 15), though not significantly. The random-selection check was run only on 1-hour candles, so there is no evidence either way on whether the 4-hour gates beat random selection.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also does not depend on one cost assumption or one stretch of time. At round-trip costs of 0.10%, 0.20%, and 0.30% the literal version's total is −2.45%, −5.55%, and −8.65%. Over 50 random 12-month windows inside 2022 to 2026, its net total was positive in 8% of them, and the time-scaled version's in 44%, mostly because that version often made no trade at all. Both beat buy-and-hold in 16% of windows. The windows overlap heavily, so these shares describe stability, not probabilities.</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17</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1-Hour Results Outside the Main Window, Including the One-Time Holdout</w:t>
      </w:r>
    </w:p>
    <w:tbl>
      <w:tblPr>
        <w:tblStyle w:val="Table4"/>
        <w:tblW w:w="9360" w:type="dxa"/>
        <w:jc w:val="left"/>
        <w:tblInd w:w="-160.0" w:type="dxa"/>
        <w:tblLayout w:type="fixed"/>
        <w:tblLook w:val="0000"/>
      </w:tblPr>
      <w:tblGrid>
        <w:gridCol w:w="2900"/>
        <w:gridCol w:w="1300"/>
        <w:gridCol w:w="1000"/>
        <w:gridCol w:w="1200"/>
        <w:gridCol w:w="1460"/>
        <w:gridCol w:w="1500"/>
      </w:tblGrid>
      <w:tr>
        <w:trPr>
          <w:cantSplit w:val="0"/>
          <w:tblHeader w:val="1"/>
        </w:trPr>
        <w:tc>
          <w:tcPr>
            <w:tcW w:w="2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Window</w:t>
            </w:r>
          </w:p>
        </w:tc>
        <w:tc>
          <w:tcPr>
            <w:tcW w:w="13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Version</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Trades</w:t>
            </w:r>
          </w:p>
        </w:tc>
        <w:tc>
          <w:tcPr>
            <w:tcW w:w="12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 rate</w:t>
            </w:r>
          </w:p>
        </w:tc>
        <w:tc>
          <w:tcPr>
            <w:tcW w:w="14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Avg per trade, net</w:t>
            </w:r>
          </w:p>
        </w:tc>
        <w:tc>
          <w:tcPr>
            <w:tcW w:w="15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Total net</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58</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39.66%</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−0.580%</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−33.65%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29</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55.17%</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−0.302%</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−8.77%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1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4</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−0.967%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−3.87%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1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60.00%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+0.141%</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+0.71%</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100.00%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+0.247%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Descriptive only. The 2018 to 2022 window is where the rules were formulated. January to August 7, 2026 had already been seen once on 4-hour candles. The holdout ran once, after the main results were committed; Bitcoin rose 23.62% over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holdout produced one literal trade, a long that gained 0.25% after costs, and no time-scaled trade. One trade cannot confirm or contradict anything, so it is reported only because it was pre-registered. The 2018 to 2022 window, where the rules came from, was worse than the main window for both versions.</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Figure 11 places every 2022 to 2026 gate setting from Table 14 and both 1-hour versions from Table 16 on one chart: trades per year, on a logarithmic axis, against average return per trade after the 0.20% cost. The time-scaled ×4 version is the 1-hour version with every window stretched four times. The only 4-hour setting that trades less often than the baseline, the Order Block quality filter, earns about the same per trade. Every 4-hour setting that trades more often earns less per trade, and five of them average below +0.15% per trade after costs. The 1-hour literal version trades slightly more often than the baseline and loses money per trade; the time-scaled version trades less often and also loses money. The chart is descriptive: none of the gate differences survived the Holm correction (Table 14), and the 1-hour points come from a different candle interval.</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11</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Against Average Net Return per Trade, 2022 to 2026</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40480"/>
            <wp:effectExtent b="0" l="0" r="0" t="0"/>
            <wp:docPr id="5011" name="Figure 5011"/>
            <a:graphic>
              <a:graphicData uri="http://schemas.openxmlformats.org/drawingml/2006/picture">
                <pic:pic>
                  <pic:nvPicPr>
                    <pic:cNvPr id="0" name="fig11_tradeoff.png"/>
                    <pic:cNvPicPr preferRelativeResize="0"/>
                  </pic:nvPicPr>
                  <pic:blipFill>
                    <a:blip r:embed="rId23"/>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at a 70.37% win rate for a +30.31% total return before costs, and weekly dollar-cost averaging still beat it on final value from equal capital, $22,312.94 against $13,417.77. The defensible use for this rule set is as a small sleeve inside a weekly buying plan, not as a replacement for one. On this window, the simple habit beat the complicated system.</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is positive before costs and uncertain after them. Before costs the bootstrap 95% interval on total return excludes zero, and 99.25% of the 10,000 resamples were positive. After a 0.20% round trip the interval that resamples trades one at a time still clears zero, [+0.59%, +49.59%], but the one that allows for runs of related trades does not, [−1.29%, +49.96%]. The win-rate significance is more fragile still. It survives the exchange fee alone at p = 0.0261 but not the addition of slippage at p = 0.1239, and checking stops against candle highs and lows removes it even before costs (p = 0.0610). Both results belong to the same answer, and reporting only the first would misrepresent the second.</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Wins were also observed more often in bull-trending conditions, at an 85.71% win rate under both regime methods, and returns were weaker or negative in sideways or bearish conditions under at least one of them.</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with every arm valued at daily closes and open trades marked to market, the strategy was stronger, but it did that while invested 2.63% of the time against 100%. The blended framing is the defensible one. After costs, Sharpe and drawdown both improve at every share from 10% to 30% inside a weekly buying plan, and at every share the strategy sleeve beats the same share held as cash on both. Most of the drawdown improvement comes from holding part of the plan out of Bitcoin: at 30% the cash sleeve alone moves drawdown from −36.02% to −27.34%, and the strategy sleeve adds only 0.90 points more, to −26.43%. On Sharpe the strategy adds about as much as the cash does: 0.585 to 0.621, against 0.555 to 0.585.</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bear on why the strategy trades so rarely. Every gate removal lowered average return per trade in both windows, but with nine comparisons none of those differences survived the Holm correction. The pre-registered 1-hour test produced only four more trades than the 4-hour rules and a negative average return per trade after costs (one-sided p = 0.696). These results are consistent with a trade-off between how often the strategy trades and how much it earns per trade (Figure 11), but they do not establish one. The one loosened setting that raised total return, K-acceleration alone, did so with nearly six times the drawdown and reversed on the formulation window. The low trade count of 27 is the main reason the win-rate significance is fragile: two marginal trades are enough to move p from 0.0261 to 0.1239.</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1-hour candles was the other route to more trades, and it failed its pre-registered test. The literal version made 31 trades and lost money per trade after costs, and on that timeframe the four gates chose trades no better than random selection. The rules appear to be tied to the 4-hour scale they were formulated on, rather than being a general description of order flow that works at any speed.</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Trades are modelled as USDT-M perpetual futures at 1x, unlevered; the study does not model leverage or margin. Funding payments were estimated from Binance's published rate history (SOP 1), not taken from a live account. The engine checks every exit, including the stop-loss, on candle closes rather than on price movement inside a candle. That biases the 27 reported trades: a stop that price touched and then left never fires, and a close far past the stop books a larger loss than a real stop order would. Rerunning the stop against candle highs and lows (Table 5) lowers the win count from 19 to 18 and moves p to 0.0610 before costs. A leverage model on top would inherit the same limit. All prices are Binance spot candles used as a proxy for the perpetual contract, which can differ from spot by the basis.</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 With 27 trades and a one-sided 5% level the binomial test needs 19 wins to be significant, and its power to detect a true win rate of 60%, 65%, or 70% is only 0.18, 0.36, or 0.58. A result that is not significant at this sample size is therefore inconclusive, not evidence that no edge exists.</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and maximum drawdown are each computed once on one realized price path. Formal tests for a difference between Sharpe ratios exist (Ledoit &amp; Wolf, 2008) but were not run, so no confidence interval or p-value attaches to the difference between arms or between the strategy and cash sleeves. A different four-year window could reverse the ordering, as Table 12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 Neither attempt in SOP 3 to raise it kept the return per trade: every gate removal lowered the average, though no difference survived the Holm correction, and the 1-hour version lost money per trade after costs.</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10. The blended model in Table 13 was corrected in this version. Earlier drafts let a weekly contribution that arrived while a trade was open share in that trade's return at its exit, although the money was not in the trade when it opened. Contributions now wait as cash until the open trade exits. 4 of the 210 weekly contributions are affected, and the final value of the 70% / 30% gross blend changes by −0.016 units, from 406.34 to 406.33.</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This study's strategy design, code, and statistics were not reviewed by a licensed financial professional or a quantitative-trading practitioner. Verification was internal only, through the regression harness described in Appendix A and the hand recomputation of every headline number in Appendix 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gate comparison in SOP 3 switches gates one at a time, so it can miss effects that only appear when two gates act together. The keep-one-gate settings show the other side of that, but not every combination was tested. Its p-values are exploratory even after the Holm correction, because the question was asked after the headline result was known.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The time-scaled 1-hour version stretches windows only. Pattern shapes such as the two-candle MACD rise and the three-candle K-acceleration stay in candles, so it is only partly the same strategy in clock time. The 1-hour main window is also the same 2022 to 2026 market the 4-hour rules were reported on, and the only fully unseen 1-hour data, the holdout, produced one trade.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 machine-learning trade filter was also tested under the same pre-registration as the SOP 3 gate comparison, and was that pre-registration's primary test. It did not beat a model trained on shuffled labels (one-sided p = 0.378) and is not reported as a finding of this paper. Its full write-up is kept with the code so that the test is on record.</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two timeframes: 4-hour candles for every primary result, and 1-hour candles for the pre-registered test in SOP 3. Slower timeframes, and faster ones below 1 hour,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The 1-hour test in SOP 3 adds a one-time holdout from 2026-08-08 to 2026-10-26.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All trades are modelled as USDT-M perpetual futures at 1x, unlevered. No leverage or margin is modelled, and no spot-only version was tested; a spot account could not take the 12 short trades.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 Binance spot BTCUSDT candles stand in for the perpetual futures contract the strategy is modelled as trading.</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costs, a percentile bootstrap of 10,000 resamples put the 95% interval on total return at [+5.99%, +54.99%], which excludes zero. After a 0.20% round-trip cost the interval is [+0.59%, +49.59%] when trades are resampled one at a time and [−1.29%, +49.96%] when runs of related trades are resampled, so the return is positive before costs but cannot be separated from zero after them. The win-rate significance does not survive either. A realistic 0.20% round-trip cost moves p from 0.0261 to 0.1239, driven by exactly two marginal trades, and checking stops against candle highs and lows moves it to 0.0610 even before costs. Since 0.20% is the realistic assumption, the answer this paper carries forward is that H₁ is not supported once costs a real trader would pay are charged, which at 27 trades is inconclusive rather than proof that no edge exists.</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second research question, weekly buying beat the strategy on final value from equal capital while the strategy had the stronger risk-adjusted shape at 2.63% time in market against 100%. Inside a weekly buying plan and after costs, both risk-adjusted measures improved at every strategy share from 10% to 30%, and at every share the strategy sleeve beat the same share held as cash on both, so H₂ is supported, settled descriptively with no p-value attached. The margin over cash is small, especially for drawdown. The forward test that came after every change to the strategy code returned −3.45% across four trades. It is too small to settle anything, and it is also the only evidence out-of-sample in both senses.</w:t>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asked, through two pre-registered follow-up analyses, whether the strategy could trade more often. Switching off any one indicator gate lowered average return per trade in both windows, with no difference surviving the Holm correction. Running the unchanged rules on 1-hour candles gave 31 trades with an average loss of 0.179% per trade after costs at a one-sided p of 0.696, so the pre-registered test found no positive return, and on that timeframe the gates picked trades no better than chance. Taken together, these results are consistent with a trade-off between trade frequency and return per trade, without establishing one, and the small sample of 27 trades is the main reason the win-rate result is fragile.</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This is a research report, not investment advice, and cryptocurrency carries a high risk of loss. In the Philippines, crypto platforms are regulated by the Bangko Sentral ng Pilipinas and the Securities and Exchange Commission. The study tested whether fixed, published rules beat simple saving and found that they did not, which is the opposite of a get-rich claim.</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shows that this rule set's trades were profitable before costs on this window, that after a 0.20% round trip their return cannot be separated from zero once related trades are allowed for, that the win-rate significance depends on costs and on how stops are checked, and that wins came more often in bull-trending conditions.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Because the 1-hour test failed, any further timeframe should be pre-registered and tested on candles that come after 2026-10-26, since no unseen data from before that date remains.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pPr>
        <w:spacing w:after="0" w:line="480" w:lineRule="auto"/>
        <w:ind w:firstLine="720"/>
        <w:rPr>
          <w:rFonts w:ascii="Times New Roman" w:cs="Times New Roman" w:eastAsia="Times New Roman" w:hAnsi="Times New Roman"/>
        </w:rPr>
      </w:pPr>
      <w:r>
        <w:rPr>
          <w:rFonts w:ascii="Times New Roman" w:cs="Times New Roman" w:eastAsia="Times New Roman" w:hAnsi="Times New Roman"/>
          <w:rtl w:val="0"/>
        </w:rPr>
        <w:t xml:space="preserve">Bangko Sentral ng Pilipinas. (2021). Guidelines for virtual asset service providers (Circular No. 1108, Series of 2021). https://www.bsp.gov.ph/Regulations/Issuances/2021/1108.pdf</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rtl w:val="0"/>
        </w:rPr>
        <w:t xml:space="preserve">Scandinavian Journal of Statistics, 6</w:t>
      </w:r>
      <w:r w:rsidDel="00000000" w:rsidR="00000000" w:rsidRPr="00000000">
        <w:rPr>
          <w:rFonts w:ascii="Times New Roman" w:cs="Times New Roman" w:eastAsia="Times New Roman" w:hAnsi="Times New Roman"/>
          <w:rtl w:val="0"/>
        </w:rPr>
        <w:t xml:space="preserve">(2), 65–70. https://www.jstor.org/stable/4615733</w:t>
      </w:r>
    </w:p>
    <w:p>
      <w:pPr>
        <w:spacing w:after="0" w:line="480" w:lineRule="auto"/>
        <w:ind w:firstLine="720"/>
        <w:rPr>
          <w:rFonts w:ascii="Times New Roman" w:cs="Times New Roman" w:eastAsia="Times New Roman" w:hAnsi="Times New Roman"/>
        </w:rPr>
      </w:pPr>
      <w:r>
        <w:rPr>
          <w:rFonts w:ascii="Times New Roman" w:cs="Times New Roman" w:eastAsia="Times New Roman" w:hAnsi="Times New Roman"/>
          <w:rtl w:val="0"/>
        </w:rPr>
        <w:t xml:space="preserve">Ledoit, O., &amp; Wolf, M. (2008). Robust performance hypothesis testing with the Sharpe ratio. Journal of Empirical Finance, 15(5), 850–859. https://doi.org/10.1016/j.jempfin.2008.03.002</w:t>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Politis, D. N., &amp; Romano, J. P. (1994). The stationary bootstrap. </w:t>
      </w:r>
      <w:r w:rsidDel="00000000" w:rsidR="00000000" w:rsidRPr="00000000">
        <w:rPr>
          <w:rFonts w:ascii="Times New Roman" w:cs="Times New Roman" w:eastAsia="Times New Roman" w:hAnsi="Times New Roman"/>
          <w:i w:val="1"/>
          <w:iCs w:val="1"/>
          <w:rtl w:val="0"/>
        </w:rPr>
        <w:t xml:space="preserve">Journal of the American Statistical Association, 89</w:t>
      </w:r>
      <w:r w:rsidDel="00000000" w:rsidR="00000000" w:rsidRPr="00000000">
        <w:rPr>
          <w:rFonts w:ascii="Times New Roman" w:cs="Times New Roman" w:eastAsia="Times New Roman" w:hAnsi="Times New Roman"/>
          <w:rtl w:val="0"/>
        </w:rPr>
        <w:t xml:space="preserve">(428), 1303–1313. https://doi.org/10.1080/01621459.1994.10476870</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 the 27-trade file is experimental/results/oos_trades_A0_rules.csv (artifacts/trades_default_view.csv holds the 25-trade quality ≥ 1 view)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6 and 7</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Sharpe and drawdown, strategy and cash sleeves, net and gross</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_mtm_blend(), called by run_benchmark_mark_to_market()</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value at every daily close, open trades marked to market, m = 365; net of 0.20% per trade and 0.10% per Bitcoin purchase, and gross; 210 weekly contributions, 2022 to 2026; results in artifacts/benchmark_mtm.json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total return and final capital from run_benchmark_vs_passive(); Sharpe and drawdown from daily closes with open trades marked to market, m = 365, via run_benchmark_mark_to_market(); results in artifacts/benchmark_mtm.json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Tables 14 and 15, Figure 9</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rule_ablation() in experimental/ml_meta_labeling.py, using diff_of_means_bootstrap() and holm()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candidate stream and exit simulator as the baseline; nine gate settings per window; B = 2,000; results in experimental/results/oos.json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on Jan to Aug 2026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lockbox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experimental/results/lockbox.json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trades, Table 16, Figure 10</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run_arm() and summarize_1h() in experimental/rules_1h.py; binomial p via the paper's binomial_test()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the binomial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experimental/data/btcusdt_1h.csv (sha256 ec24028427a9029a…); results in experimental/results_1h/main.json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0.696 and its interval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primary_style_test(), wrapping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literal 1-hour net returns in entry order; B = 10,000; L = 3; seed 20260808</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Random-filter share 63.3%, 12-month windows, cost levels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candidates; 1,000 seeds; 50 windows; costs 0.10%, 0.20%, 0.30%</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windows and holdout, Table 17</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and holdout phases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experimental/results_1h/main.json and holdout.json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114 settlements, net credit 0.11 points, +25.02% after costs and funding</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experimental/funding_cost.py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experimental/data/btcusdt_funding.csv (sha256 ad21493a…), Binance monthly funding archives; results in experimental/results_funding/funding.json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 chart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experimental/plot_tradeoff.py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(plot only)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read from experimental/results/oos.json (Table 14) and experimental/results_1h/main.json (Table 16); listed in experimental/results/fig11_points.json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After-cost bootstrap: percentile [+0.59%, +49.59%]; block [−1.29%, +49.96%], mean [−0.05%, +1.85%]; binomial power 0.18 / 0.36 / 0.58; forward-test tail p = 0.081</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 Limitation 2</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experimental/bootstrap_net_4h.py, calling run_bootstrap_ci() and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1 and 4); SciPy for power and tail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net of 0.20%; B = 10,000; seed 42; L = 3; results in experimental/results/bootstrap_net_4h.json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High-low stop check: 18 wins, +24.85%, p = 0.0610 gross; 16 wins, +19.45%, p = 0.2210 net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experimental/stop_intrabar.py; binomial p via scipy.stats.binomtest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27 entries; stop checked on candle high and low from the candle after entry to the reported exit; results in experimental/results/stop_intrabar.json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curves and blended-plan chart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7 and 8</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 experimental/plot_benchmark_figures.py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(plot only)</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read from artifacts/benchmark_mtm.json; listed in experimental/results/fig07_fig08_points.json</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formulas below are reproduced in full so a reader can check each exact expression. Formula numbering runs 1 to 6.</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 Applied to daily returns with m = 365.</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Parameters as used: B = 10,000, L = round(n^(1/3)), seed 20260808 for the 1-hour test and seed 42 for the 4-hour after-cost check. For each resample: index k₁ is drawn uniformly from 1 to n; for t = 2 to n, with probability 1/L draw kₜ uniformly, otherwise kₜ = (kₜ₋₁ mod n) + 1. Record r̄* = (1/n) Σ r_{kₜ}. p = (number of r̄* ≤ 0) / B; CI = [P₂.₅(r̄*), P₉₇.₅(r̄*)].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means. Parameters as used: B = 2,000, sampling with replacement. Δ* = mean(resample of a, size n_a) − mean(resample of b, size n_b). CI = [P₂.₅(Δ*), P₉₇.₅(Δ*)]; p = min(1, 2 × min(share Δ* ≤ 0, share Δ* ≥ 0)).</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With p₍₁₎ ≤ … ≤ p₍ₘ₎ and m = 9: p̃₍ᵢ₎ = min(1, max over j ≤ i of (m − j + 1) p₍ⱼ₎).</w:t>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C1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percentage return before costs.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C1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return before costs.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10 adds the 27 returns. The Final capital column compounds them. To compound, divide each return by 100, add 1, and multiply all 27 results together. That product is 1.341777, so the compounded return is +34.18% and $10,000 × 1.341777 = $13,417.77. For the net-of-cost row in Table 11, subtract 0.20 from each return first, then compound the same way. The product is 1.271900, giving +27.19% and $12,719.00. The paper reports $12,719.01; the one-cent gap comes from Table C1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C1. The total is 231 candles held. The window has 8,767 candles, and 231 ÷ 8,767 = 0.026349, which is the 2.6349% in the note to Table 10,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splits the same 27 trades by the year of the entry time in Table C1.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6 from Table C1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C1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C1 is +0.1196 at index 7938, then +0.1264 at 8188, +0.2507 at 2859, and +0.3779 at 5825. That ordering decides which trades flip at each cost level. The p-value for each row comes from D2.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C1.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df = n − 2 = 25. Spearman's ρ uses the same two columns after replacing each value with its rank, giving ρ = 0.479728, reported as +0.4797. The p-values attached to both, 0.0094 and 0.0113, come from SciPy and are not hand-computable; see D10.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Candle count. 1,461 days × 6 candles per day = 8,766 intervals, plus the final stored row = 8,767 rows. Weekly contribution. $10,000 ÷ 210 weeks = $47.6190; for the 2018 window, $10,000 ÷ 209 = $47.8469. Annualization factor for the Sharpe ratio. Every arm uses daily returns, so m = 365. Combined window in Table 9.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C1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 The same holds for the after-cost intervals in SOP 1, including the block-bootstrap interval.</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10 through 13. Sharpe and maximum drawdown both use each arm's value at every daily close, with the strategy's open trades marked to market; neither comes from trade returns alone.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pPr>
        <w:spacing w:after="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 The high-low stop check in Table 5. It needs each candle's high and low over every trade, which Table C1 does not print.</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7,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12, the 2018 to 2022 window, and Table 8, the 2026 forward test. These use trade sets that are not printed in this paper.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Tables 14 to 17 and Figures 9 and 10. They use trade sets that are not printed here, and their intervals and p-values need thousands of resamples. The committed result files named in Appendix A hold every input.</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footerReference w:type="first" r:id="rId22"/>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3.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