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CIPHER: Confluence of Institutional Price-structure, Histogram momentum, Exit timing, and Risk scaling in Bitcoin Trading,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 xml:space="preserve">CIPHER: Confluence of Institutional Price-structure, Histogram momentum, Exit timing, and Risk scaling in Bitcoin Trading,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Gungsuh" w:cs="Gungsuh" w:eastAsia="Gungsuh" w:hAnsi="Gungsuh"/>
          <w:rtl w:val="0"/>
        </w:rPr>
        <w:br w:type="textWrapping"/>
        <w:tab/>
        <w:t xml:space="preserve">This study tests a rule-based Bitcoin trading strategy against the two things an ordinary investor would otherwise do: buy a fixed amount every week, or buy once and hold. Every rule and parameter was set by eye from BTC/USDT 4-hour charts covering January 2018 to January 2022, then frozen before the reported window was measured. The strategy was run candle by candle over 8,767 four-hour candles from January 2022 to January 2026. It made 27 trades at a 70.37% win rate and a total net return of +30.31%, with a one-sided exact binomial p of 0.0261. A bootstrap of 10,000 resamples placed the 95% confidence interval on total return at [+5.9866%, +54.9866%], which excludes zero. Charging a realistic 0.20% round-trip cost cut the win rate to 62.96% and raised p to 0.1239, so the significance did not survive. From an equal $10,000 start, weekly buying reached $22,312.94 against the strategy's $13,417.77, a clear loss on final value, although the strategy held a position only 2.63% of the time. Directing 10%, 20%, and 30% of weekly contributions into the strategy raised the Sharpe ratio from 0.556 to 0.637 and made maximum drawdown shallower, from −27.85% to −23.18%. A forward test from January to July 2026 returned −3.45% over four trades. One data-leakage bug was found during verification and fixed. Costs decide the verdict.</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none" w:pos="936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Introduction………………………………………………………………………………………..6</w:t>
          </w:r>
        </w:p>
        <w:p w:rsidR="00000000" w:rsidDel="00000000" w:rsidP="00000000" w:rsidRDefault="00000000" w:rsidRPr="00000000" w14:paraId="00000021">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Study………………………………………………………………………...11</w:t>
          </w:r>
        </w:p>
        <w:p w:rsidR="00000000" w:rsidDel="00000000" w:rsidP="00000000" w:rsidRDefault="00000000" w:rsidRPr="00000000" w14:paraId="00000022">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Problem………………………………………………………………….12</w:t>
          </w:r>
        </w:p>
        <w:p w:rsidR="00000000" w:rsidDel="00000000" w:rsidP="00000000" w:rsidRDefault="00000000" w:rsidRPr="00000000" w14:paraId="0000002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 xml:space="preserve">14</w:t>
          </w:r>
        </w:p>
        <w:p w:rsidR="00000000" w:rsidDel="00000000" w:rsidP="00000000" w:rsidRDefault="00000000" w:rsidRPr="00000000" w14:paraId="0000002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 xml:space="preserve">14</w:t>
          </w:r>
        </w:p>
        <w:p w:rsidR="00000000" w:rsidDel="00000000" w:rsidP="00000000" w:rsidRDefault="00000000" w:rsidRPr="00000000" w14:paraId="00000025">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Sources…………………………………………………………………..15</w:t>
          </w:r>
        </w:p>
        <w:p w:rsidR="00000000" w:rsidDel="00000000" w:rsidP="00000000" w:rsidRDefault="00000000" w:rsidRPr="00000000" w14:paraId="0000002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Variables………………………………………………………………………………..17</w:t>
          </w:r>
        </w:p>
        <w:p w:rsidR="00000000" w:rsidDel="00000000" w:rsidP="00000000" w:rsidRDefault="00000000" w:rsidRPr="00000000" w14:paraId="00000027">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Formulas……………………………………………………………………...18</w:t>
          </w:r>
        </w:p>
        <w:p w:rsidR="00000000" w:rsidDel="00000000" w:rsidP="00000000" w:rsidRDefault="00000000" w:rsidRPr="00000000" w14:paraId="0000002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Schedule…………………………………….24</w:t>
          </w:r>
        </w:p>
        <w:p w:rsidR="00000000" w:rsidDel="00000000" w:rsidP="00000000" w:rsidRDefault="00000000" w:rsidRPr="00000000" w14:paraId="00000029">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Analysis…………………………………………………………………………...25</w:t>
          </w:r>
        </w:p>
        <w:p w:rsidR="00000000" w:rsidDel="00000000" w:rsidP="00000000" w:rsidRDefault="00000000" w:rsidRPr="00000000" w14:paraId="0000002A">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 xml:space="preserve">29</w:t>
          </w:r>
        </w:p>
        <w:p w:rsidR="00000000" w:rsidDel="00000000" w:rsidP="00000000" w:rsidRDefault="00000000" w:rsidRPr="00000000" w14:paraId="0000002B">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Hypotheses H₀₁ and H₁₁…………………………………………..</w:t>
            <w:tab/>
            <w:t xml:space="preserve">29</w:t>
          </w:r>
        </w:p>
        <w:p w:rsidR="00000000" w:rsidDel="00000000" w:rsidP="00000000" w:rsidRDefault="00000000" w:rsidRPr="00000000" w14:paraId="0000002C">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w:t>
            <w:tab/>
            <w:t xml:space="preserve">35</w:t>
          </w:r>
        </w:p>
        <w:p w:rsidR="00000000" w:rsidDel="00000000" w:rsidP="00000000" w:rsidRDefault="00000000" w:rsidRPr="00000000" w14:paraId="0000002D">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"_m6jdm0qbx3y9" </w:instrText>
            <w:fldChar w:fldCharType="separate"/>
          </w:r>
          <w:r w:rsidDel="00000000" w:rsidR="00000000" w:rsidRPr="00000000">
            <w:rPr>
              <w:rFonts w:ascii="Times New Roman" w:cs="Times New Roman" w:eastAsia="Times New Roman" w:hAnsi="Times New Roman"/>
              <w:rtl w:val="0"/>
            </w:rPr>
            <w:t xml:space="preserve">Answers to SOP 3 and Hypotheses H₀₂ and H₁₂…………………………………………..</w:t>
            <w:tab/>
            <w:t xml:space="preserve">37</w:t>
          </w:r>
        </w:p>
        <w:p w:rsidR="00000000" w:rsidDel="00000000" w:rsidP="00000000" w:rsidRDefault="00000000" w:rsidRPr="00000000" w14:paraId="0000002E">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Conclusions……………………………………………………………………………………...38</w:t>
          </w:r>
        </w:p>
        <w:p w:rsidR="00000000" w:rsidDel="00000000" w:rsidP="00000000" w:rsidRDefault="00000000" w:rsidRPr="00000000" w14:paraId="0000002F">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 xml:space="preserve">40</w:t>
          </w:r>
        </w:p>
        <w:p w:rsidR="00000000" w:rsidDel="00000000" w:rsidP="00000000" w:rsidRDefault="00000000" w:rsidRPr="00000000" w14:paraId="0000003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 xml:space="preserve">42</w:t>
          </w:r>
        </w:p>
        <w:p w:rsidR="00000000" w:rsidDel="00000000" w:rsidP="00000000" w:rsidRDefault="00000000" w:rsidRPr="00000000" w14:paraId="00000031">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 xml:space="preserve">43</w:t>
          </w:r>
        </w:p>
        <w:p w:rsidR="00000000" w:rsidDel="00000000" w:rsidP="00000000" w:rsidRDefault="00000000" w:rsidRPr="00000000" w14:paraId="00000032">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References……………………………………………………………………………………….44</w:t>
          </w:r>
        </w:p>
        <w:p w:rsidR="00000000" w:rsidDel="00000000" w:rsidP="00000000" w:rsidRDefault="00000000" w:rsidRPr="00000000" w14:paraId="0000003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A……………………………………………………………………………………...47</w:t>
          </w:r>
        </w:p>
        <w:p w:rsidR="00000000" w:rsidDel="00000000" w:rsidP="00000000" w:rsidRDefault="00000000" w:rsidRPr="00000000" w14:paraId="0000003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 xml:space="preserve">47</w:t>
          </w:r>
        </w:p>
        <w:p w:rsidR="00000000" w:rsidDel="00000000" w:rsidP="00000000" w:rsidRDefault="00000000" w:rsidRPr="00000000" w14:paraId="00000035">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 xml:space="preserve">50</w:t>
          </w:r>
        </w:p>
        <w:p w:rsidR="00000000" w:rsidDel="00000000" w:rsidP="00000000" w:rsidRDefault="00000000" w:rsidRPr="00000000" w14:paraId="0000003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 xml:space="preserve">50</w:t>
          </w:r>
        </w:p>
        <w:p w:rsidR="00000000" w:rsidDel="00000000" w:rsidP="00000000" w:rsidRDefault="00000000" w:rsidRPr="00000000" w14:paraId="00000037">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 xml:space="preserve">51</w:t>
          </w:r>
        </w:p>
        <w:p w:rsidR="00000000" w:rsidDel="00000000" w:rsidP="00000000" w:rsidRDefault="00000000" w:rsidRPr="00000000" w14:paraId="0000003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 xml:space="preserve">51</w:t>
          </w:r>
        </w:p>
        <w:p w:rsidR="00000000" w:rsidDel="00000000" w:rsidP="00000000" w:rsidRDefault="00000000" w:rsidRPr="00000000" w14:paraId="00000039">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D……………………………………………………………………………………...54</w:t>
          </w:r>
        </w:p>
        <w:p w:rsidR="00000000" w:rsidDel="00000000" w:rsidP="00000000" w:rsidRDefault="00000000" w:rsidRPr="00000000" w14:paraId="0000003A">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 xml:space="preserve">54</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last thirty years. Cheaper phones and digital payments have closed much of the gap between ordinary people and financial services. The World Bank looked at 123 economies and found 76% of adults had a formal financial account by 2021, up from 51% in 2011. Most of that growth came from mobile money and e-wallets in developing countries (Demirgüç-Kunt et al., 2022). For many people these tools are not an add-on to a bank. They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biggest products of this shift. A cryptocurrency is a digital asset whose ownership is recorded on a blockchain, a shared public ledger kept by many computers instead of one bank. People can trade these assets directly, with no bank or broker in between, so all a person needs is a phone and an internet connection (Schär, 2021). In places like Magalang, Pampanga, where bank branches are few, crypto platforms are often a person's first door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are a large part of this shift, and many are learning about money by putting it to work. In the United States, a 2022 survey of adults aged 18 to 25 found that 56% already held investments. Among those investors, 55% owned cryptocurrency and 41% owned individual stocks, and nearly half said social media was their main source of investing information (FINRA Investor Education Foundation &amp; CFA Institute, 2023). The same link between knowledge and investing shows up among Filipinos. In a survey of 384 college students in Metro Manila, financial knowledge was the only significant predictor of stock market investing (Arena et al., 2023).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and is still the most traded by value and volume (Nakamoto, 2008). It trades every hour of every day. It has no circuit breakers to pause it, and no central bank or company earnings behind it. That makes its price swings bigger than most other assets. Those swings are both the main risk and the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very large buyer or seller pushes price hard in one direction, it leaves a mark on the chart. There is usually a price area where the large position was built before the move began. Researchers call these areas Order Blocks (Bessembinder et al., 2009). Large traders split big orders into pieces and time them, which moves both resting orders and short-term price (Brolley &amp; Cimon, 2020; Díaz &amp; Escribano, 2020). Smart Money Concepts, the trading framework this study borrows from, is built on the same idea (Biais et al., 2005). The strategy here waits for price to return to one of these areas, checks whether the pullback is losing strength, then enters, sizes its risk to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trades non-stop and reacts fast to sentiment, so company fundamentals are little help for short-term decisions. Traders use technical analysis instead: forecasting price from past price and volume (Svogun &amp; Bazán-Palomino, 2022). It rests on two ideas. Price already reflects what the market knows. People repeat their behavior, so chart patterns repeat too (Fang et al., 2014). Technical rules have shown real predictive value in liquid crypto markets over short time frames (Corbet et al., 2019).</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one answers a different question about the same price series: which way is price likely to move, how hard is it moving, and where have large traders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It compares a fast moving average to a slow one and plots the gap between them as a histogram. That histogram shows whether momentum is building or fading (Chong &amp; Ng, 2008). MACD does not predict a reversal. It reports current momentum. Chong and Ng (2008) tested MACD on 60 years of London Stock Exchange data and found it produced returns higher than a simple buy-and-hold approach in most of the cases they tested. Navarro and Navarro (2023) tested MACD on 178 Philippine stocks over a 12-year period. Under the standard settings, about 35% of those stocks were consistently profitable under MACD; a faster, alternative setting raised that to about 51%. Results like these move a lot with the market and the settings used, which is part of why this study measures MACD's own contribution directly instead of assuming it. Here the slope of the MACD histogram is the momentum check: below zero but rising favors a long entry, and above zero but falling favors a short entry.</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Wu and Diao (2015) tested MACD, RSI, and KDJ together on eight years of Shanghai and Shenzhen stock data and found the combination gave a better chance of predicting short-term price moves than the market period alone would explain. Dai et al. (2020) found that KDJ and related indicators produced stock-return forecasts that were statistically and economically significant, in-sample and out-of-sample. Neither paper builds a full entry-and-exit trading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not which way. The Average True Range, introduced by Wilder (1978), does this. True range is the largest of three numbers: the current high minus the current low, the gap from the current high to the previous close, or the gap from the current low to the previous close. ATR averages that over a window and carries no bullish or bearish opinion, only a volatility reading.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does not appear in the headline return numbers the way MACD or KDJ do, because its job is not to call direction. It decides how much risk each trade carries once a trade is already justified by the other tools. This is also how ATR is used on real trading desks. A common rule is to risk the same dollar amount on every trade and let ATR set the position size, so a wider ATR means a smaller position and a narrower ATR means a larger one. Stop-loss distances are set the same way, as a multiple of ATR, so a stop sits wider in a volatile market and tighter in a calm one. That is the same logic this study applies to Bitcoin: keep risk per trade steady while everything else about the market changes.</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addresses this by reading raw price structure for institutional footprints instead of statistical averages, on the premise that large entities engineer price moves to reach pools of resting orders and fill large positions before reversing (Bessembinder et al., 2009). Order Blocks are detected here at two levels, one with a 50-candle lookback for larger swings and one with a 5-candle lookback for smaller structure, and each is judged against five quality criteria defined in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and other technical rules alone, or at most in pairs (Chong &amp; Ng, 2008; Corbet et al., 2019; Lv et al., 2017). No published study tests MACD, an adaptive KDJ exit, a dual-ATR risk framework, and Order Block detection all together, in one backtest, on cryptocurrency. That is the real gap. It is not whether any one of these tools works; each has already been shown to work alone. The open question is what combining them does to the result, for better or worse, measured against the passive options an ordinary participant would otherwise use. This study fills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only matters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and it is the standard baseline researchers use when they study systematic retail investing (Finlay &amp; Zorn, 2023).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financial services in the Philippines has grown far faster than participation in financial markets. Account ownership among Filipino adults rose from 29% in 2019 to 56% in 2021, driven mostly by e-money accounts, which rose from 8% to 36% (Bangko Sentral ng Pilipinas, 2022). Over the same two years, investment uptake, excluding pension contributions, fell from 15% to 10%. More Filipinos can reach a market than ever before. Fewer of them are actually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gap is what this study speaks to. Open, reproducible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and Goal 11, on inclusive and resilient communities, by contributing to the digital financial infrastructure residents already use (United Nations, 2015). Everything here is built from publicly available data and open-source tools, so it can be reproduced anywhere.</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time frames. It trades 24 hours a day, moves sharply, and reacts to large institutional order flow, so ordinary analysis often misses directional signals before they appear. MACD and KDJ have each shown predictive value on their own. What has not been tested is what happens when those momentum tools are combined with volatility-based risk management and Order Block detection, all together, and how the result holds up against the passive options an ordinary participant would otherwise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 xml:space="preserve">This study seeks to answer:</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net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maximum drawdown, and time in market?</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Does directing a share of new weekly contributions into the strategy improve the risk-adjusted profile of an otherwise ordinary Bitcoin dollar-cost-averaging plan, and if so, how does that improvement behave as the allocated share rises?</w:t>
      </w:r>
    </w:p>
    <w:p w:rsidR="00000000" w:rsidDel="00000000" w:rsidP="00000000" w:rsidRDefault="00000000" w:rsidRPr="00000000" w14:paraId="0000005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p>
    <w:p w:rsidR="00000000" w:rsidDel="00000000" w:rsidP="00000000" w:rsidRDefault="00000000" w:rsidRPr="00000000" w14:paraId="0000005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H₀₁: The combined strategy does not produce a statistically significant win rate above 50% on BTC/USDT 4-hour data across all market conditions over a broad temporal scope.</w:t>
      </w:r>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H₁₁: The combined strategy produces a statistically significant win rate above 50% on BTC/USDT 4-hour data across all market conditions over a broad temporal scope.</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pair asks whether the strategy wins more often than a coin flip by a margin too large to be luck. It is tested with a one-sided exact binomial test, specified in Section F.</w:t>
      </w:r>
    </w:p>
    <w:p w:rsidR="00000000" w:rsidDel="00000000" w:rsidP="00000000" w:rsidRDefault="00000000" w:rsidRPr="00000000" w14:paraId="0000005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H₀₂: Blending a strategy allocation into a Bitcoin dollar-cost-averaging plan does not improve that plan's risk-adjusted profile, as measured by the Sharpe ratio and maximum drawdown, relative to a plan held entirely in dollar-cost-averaged Bitcoin.</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H₁₂: Blending a strategy allocation into a Bitcoin dollar-cost-averaging plan improves that plan's risk-adjusted profile on both of those measures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pair is stated formally so the direction of the claim is fixed before the numbers are seen. How it is judged is fixed here too. Sharpe and maximum drawdown are each computed from one realized price path, so each is a single observation, not a sample. There is no sampling distribution behind them, so no p-value can honestly be formed. The pair is therefore settled descriptively, by whether both measures move in the predicted direction consistently as the allocated share rises. That is a weaker standard than a significance test and is treated as one throughout.</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rules, parameters, and thresholds were set by eye from charts covering January 2018 to January 2022. The primary findings come from January 2022 to January 2026. A third and stricter test uses January 2026 to July 2026, which came after every change to the code. Figure 1 shows how the three periods relate.</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First, the build period was read by eye rather than fitted numerically. The rules therefore carry whatever bias visual pattern recognition brings, and the separation cannot be measured the way a held-out split in a machine-learning study can. Second, the 2022 to 2026 window is out-of-sample for rule building but not for code checking, because the bug described in the Limitations was found while examining that window. Only the January to July 2026 test is out-of-sample in both senses.</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timestamps are UTC+8. Every timestamp in this paper follows that convention. Figure 2 shows the collection and verification sequence.</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a span of exactly 1,461 days (365 + 365 + 366 + 365, the 366 covering the 2024 leap day). At six 4-hour candles a day, that is 1,461 × 6 = 8,766 intervals. The closing candle is stored as its own row, so the file holds 8,766 + 1 = 8,767 rows. A gap check found a single time difference between consecutive candles, four hours, and no duplicate timestamps. No candle is missing.</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True Range (Wilder, 1978).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verification dashboard. A separately written JavaScript dashboard recomputes the indicator and entry-condition layer in the browser, as a cross-check from a second codebase. Its scope is deliberately narrow. It does not detect Order Blocks, Fair Value Gaps, or liquidity sweeps, and it imports nothing from the Python analysis. That independence is why the two bootstrap intervals in the Findings are reported separately rather than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How capital is allocated over one identical stretch of price history, at six levels. Three are standalone arms: the Order-Block-gated strategy alone, weekly dollar-cost averaging into Bitcoin, and one lump-sum purchase held to the end. Three are blends that put 10%, 20%, and 30% of new weekly contributions into the strategy and dollar-cost average the rest. The 0% blend is the same arm as pure weekly averaging and appears as the blended model's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net return,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MACD (12, 26, 9). Momentum confirmation comes from the gap between a fast and a slow exponential moving average. Every value uses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(9, 3, 3), the fixed entry gate. Computed once over the whole dataset. It does not vary from trade to trade, and every K, D, and J reference inside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the adaptive exit series. A second system that exists only to time one exit signal after a trade is open. It never shares state with the fixed series above. At entry it is seeded from that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detection.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pass a candle becomes a pivot high only by right-side comparison: its high must exceed every high that follows it, up to the breakout candle. A pivot low is the mirror. No future candle is read. A break of structure is flagged when price closes across a tracked pivot level. An Order Block is then created from the price segment between the pivot candle and the candle whose close confirms the break. Two candles are tracked separately on purpose: the one holding the Order Block's own extreme, and the one where the breakout closes. An Order Block cannot trigger an entry until strictly after its confirmation candle. Order Blocks expire after 500 candles, or as soon as price closes back through their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quality criteria.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the Order Block's candle is at least ATR₂₀₀ at that candle, meaning the block's own candle is at least as tall as the long-run average candle.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value was set during the 2018 to 2022 formulation period and was never adjusted afterwards.</w:t>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conditions. A long entry needs all six conditions in Figure 4 to hold at the same candle close. A short entry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conditions. Exits are checked on every candle in the fixed order shown in Figure 5. The first condition met triggers the exit and the rest are not checked for that candle.</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9 through 12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Head-to-head arms. Each starts from $10,000. The strategy arm holds the full amount in cash from the first bar and compounds only at each trade exit bar, by that trade's percentage return. Each trade commits the full amount; positions are unlevered and never partly sized. Between trades the arm sits in cash and earns nothing. Returns are measured per 4-hour bar and annualized with m = 6 × 365.25 = 2,191.5.</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Each contribution buys at that bar's close. Value at any bar is units held times the current close. Period returns are measured only at contribution bars and are net of that week's own contribution,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arm is annualized with m = 52. The lump-sum arm buys the full $10,000 at the first bar's opening price, not the close the averaging arm uses, and holds to the last bar's close. Lump-sum returns are per 4-hour bar, annualized with m = 2,191.5.</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reconciliation applies wherever the strategy arm appears. Its Total return column is the arithmetic sum of the individual trade returns, the convention behind the +30.31% headline throughout this paper. Its Final capital column instead compounds those same returns in sequence from the $10,000 start. Compounded, the strategy returns +34.18% over the primary window, which is what produces $13,417.77. The two passive arms hold one position throughout, so no such gap arises for them.</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10,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model. Contributions here are 1.0 relative unit per week across 210 weeks, not dollars. Table 12 therefore has no dollar column and should not be read against the $10,000 used elsewhere. In the 100% / 0% baseline the full unit buys Bitcoin at that bar's close. At a strategy share f of 0.10, 0.20, or 0.30, the remaining share buys Bitcoin and f goes into a strategy sleeve held as cash. The sleeve compounds by each trade's return at that trade's exit bar and is never moved back into Bitcoin. Portfolio value at any bar is Bitcoin units times the close, plus the sleeve's cash. Period returns are measured at the 210 contribution bars, net of that week's contribution, and annualized with m = 52. Maximum drawdown in Table 12 includes principal and is computed on the portfolio value series at contribution bars.</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Table 12's 100% / 0% row and Table 9's Weekly DCA row give the same Sharpe of 0.556 and the same maximum drawdown of −27.85%, because both use the same weekly rule. The two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approach is exploratory data analysis (Tukey, 1977): descriptive statistics, distribution summaries, and table comparison, used to find patterns before drawing conclusions. It suits this case because the backtest output is a finite, fully observed set of trade records with no missing values. The descriptive statistics reported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whose routines are used across published quantitative research (Virtanen et al., 2020). The standard tests here are therefore library code, not this study's own, which removes a whole class of possible arithmetic error.</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exactly six quantities. Three are unmodified SciPy calls. Three are formulas written for this study, either because no single library function computes them or because they follow this study's own resampling design. Sharpe and maximum drawdown are descriptive measures, not hypothesis tests, and no p-value is attached to either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2, and 3.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p-value is the chance of a result at least this strong if the strategy had no edge at all. The one-sided form was chosen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Pearson's r and Spearman's ρ were computed between how long a trade was held, in candles, and its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to be safe. The bootstrap assumes nothing about the shape of the distribution; it uses the data's own shape instead (Efron &amp; Tibshirani, 1993). Drawing exactly n values with replacement follows Efron, so the spread between resamples reflects sampling uncertainty rather than a changed sample size. The parameters are B = 10,000, n = 27, and a fixed seed of 42, so the figure is exactly reproducible. This is the plain percentile bootstrap, not the bias-corrected and accelerated version. That is a choice, not the only option.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Drawdown is a percentage, not dollars, so the three arms can be compared directly despite very different equity-curve shapes. Tracking the running peak, rather than comparing only the final value to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for that arm's own reporting frequency:</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 measures the return an arm earned per unit of the variability it went through, so a higher value means a smoother ride for the same return (Sharpe, 1994). It is computed here with the risk-free rate set to zero, using raw per-period returns rather than returns in excess of a benchmark rate.</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analyses. The headline result was recomputed under six cost scenarios. It was compared against the two passive alternatives both gross and net of fees, and re-run on data that came after the code was finished. The binomial test is re-run in full on each fee-adjusted trade set rather than adjusted from the gross p-value.</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A golden-master regression harness recomputes the indicators and the full simulation from raw candle data. It requires exact agreement with committed reference files: indicators to a tolerance of 10⁻⁶, and all 27 trade records exactly. It runs after every code change. Truncation-equality testing on the ATR(14), ATR(200), and fixed KDJ(9,3,3) series passed 180 of 180 sampled checks.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Each subsection opens with a direct answer, then gives the evidence behind it. Interpretation is held back to the Conclusions. Appendix A traces every number here to the function that produced it, and Appendix D shows how to recompute by hand each number that can be recomputed by hand.</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Hypotheses H₀₁ and H₁₁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before costs, no after them. The strategy won 70.37% of 27 trades for +30.31% total net return at p = 0.0261, and the bootstrap interval on total return excludes zero. Charging a realistic 0.20% round trip moves p to 0.1239, so H₀₁ is not rejected once costs a real trader would pay are charged.</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net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strategy had no edge, a run this good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C.</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interval. A bootstrap of 10,000 resamples, drawn at the original sample size of 27 with a fixed seed of 42, gives a point estimate of +30.3065% total net return, which differs from the observed sum of +30.3064% only in the fourth decimal. The 95% confidence interval is [+5.9866%, +54.9866%]. It is wide but excludes zero, and 99.25% of resampled totals were positive. The matching interval for average return per trade is [+0.2217%, +2.0365%].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sensitivity. Six scenarios were run: gross, fee-only, and four spanning 0.14% to 0.40% round trip. The confirmed Binance USDT-M Futures standard taker rate is 0.05% per side, giving 0.10% for a round trip, and slippage was modelled separately at a conservative 0.05% per side.</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flip comes from exactly two trades, those at candle indices 7938 and 8188, worth +0.12% and +0.13% before costs, crossing from winners into losers.</w:t>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Holding time and return. Across the same 27 trades, Pearson's r = +0.4907 with t = 2.82, df = 25, and p ≈ 0.0094. Spearman's ρ = +0.4797 with p ≈ 0.0113. Trades held longer tended to end up larger, and the pattern holds at both the 5% and 1% thresholds.</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A forward out-of-sample test used 4-hour data from 2026-01-01 to 2026-07-31, a period that came after every change to the code, run through the identical frozen pipeline after first confirming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because about half of it comes from the period the rules were built on. The strategy does worse on its own build data, at 60.00% and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weekly buying won on final value by a wide margin, and the strategy won on risk-adjusted shape while holding a position only 2.63% of the time. Both are true and neither settles the comparison alone.</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1.1142</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−6.46%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0.5559</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Time in market for the strategy is 2.6349% of candles.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26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502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0.9442</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−7.78%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0.5529</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9,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buying beat the strategy on final value, $22,312.94 against $13,417.77 gross and $22,290.65 against $12,719.01 after costs. The strategy's gross Sharpe of 1.1142 exceeds buy-and-hold Bitcoin's 0.5642 over the same window,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0.824</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−46.16%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0.789</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−81.42%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9,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shown for comparison only. Bitcoin's 2018 to 2022 window held a much bigger fall-and-recovery cycle than 2022 to 2026, which mechanically favours weekly buying by lowering its average purchase price.</w:t>
      </w:r>
    </w:p>
    <w:p w:rsidR="00000000" w:rsidDel="00000000" w:rsidP="00000000" w:rsidRDefault="00000000" w:rsidRPr="00000000" w14:paraId="0000020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m6jdm0qbx3y9" w:id="18"/>
      <w:bookmarkEnd w:id="18"/>
      <w:r w:rsidDel="00000000" w:rsidR="00000000" w:rsidRPr="00000000">
        <w:rPr>
          <w:rFonts w:ascii="Times New Roman" w:cs="Times New Roman" w:eastAsia="Times New Roman" w:hAnsi="Times New Roman"/>
          <w:color w:val="000000"/>
          <w:rtl w:val="0"/>
        </w:rPr>
        <w:t xml:space="preserve">Answers to SOP 3 and Hypotheses H₀₂ and H₁₂</w:t>
      </w:r>
      <w:r w:rsidDel="00000000" w:rsidR="00000000" w:rsidRPr="00000000">
        <w:rPr>
          <w:rtl w:val="0"/>
        </w:rPr>
      </w:r>
    </w:p>
    <w:p w:rsidR="00000000" w:rsidDel="00000000" w:rsidP="00000000" w:rsidRDefault="00000000" w:rsidRPr="00000000" w14:paraId="00000209">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Both risk-adjusted measures improve at every step as the strategy share rises from 0% to 30%, with no reversal, which is the pattern that rejects H₀₂ in favour of H₁₂ under the descriptive standard set with the hypothesis.</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Portfolio at Increasing Strategy Allocations</w:t>
      </w:r>
      <w:r w:rsidDel="00000000" w:rsidR="00000000" w:rsidRPr="00000000">
        <w:rPr>
          <w:rtl w:val="0"/>
        </w:rPr>
      </w:r>
    </w:p>
    <w:tbl>
      <w:tblPr>
        <w:tblStyle w:val="Table12"/>
        <w:tblW w:w="9360.0" w:type="dxa"/>
        <w:jc w:val="left"/>
        <w:tblInd w:w="-160.0" w:type="dxa"/>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(annualized)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−26.51%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−24.97%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0.637</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−23.18%</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on the blended equity curve of 210 weekly contributions over 2022 to 2026, under the construction in Section E. The Sharpe ratio assumes a risk-free rate of zero.</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Across Increasing Strategy Allocations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3408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34080"/>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Sharpe rises from 0.556 to 0.637, and maximum drawdown shallows from −27.85% to −23.18%. The conclusion is bounded as stated with the hypothesis: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at a 70.37% win rate for +30.31% total net return, and weekly dollar-cost averaging still beat it on final value from equal capital, $22,312.94 against $13,417.77. The defensible use for this rule set is as a small sleeve inside a weekly buying plan, not as a replacement for one.</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holds up directionally. The bootstrap 95% interval on total return excludes zero even though it is wide, and 99.25% of the 10,000 resamples were positive. The win-rate significance is fragile by comparison. It survives the exchange fee alone at p = 0.0261 but not the addition of conservative slippage at p = 0.1239. Both belong to the same answer, and reporting only the first would misrepresent the second.</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The edge is also concentrated in bull-trending conditions, at an 85.71% win rate under both regime methods, and is weaker or negative in sideways or bearish conditions under at least one of them.</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the strategy was stronger, but it did that while invested 2.63% of the time against 100%. The blended framing is the defensible one: Sharpe and drawdown both improve steadily as the strategy's share rises from 0% to 30% inside a weekly buying plan.</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rsidR="00000000" w:rsidDel="00000000" w:rsidP="00000000" w:rsidRDefault="00000000" w:rsidRPr="00000000" w14:paraId="0000022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next to the literature this study cites, the headline numbers hold up. Chong and Ng (2008) found MACD produced returns higher than buy-and-hold in most of the cases they tested on the London Stock Exchange. Navarro and Navarro (2023) found only about 35% to 51% of the Philippine stocks they tested were consistently profitable under MACD alone, depending on the setting used. This study's combined strategy, which uses MACD as one confirmation signal among several rather than as a strategy on its own, reached a 70.37% win rate and a +30.31% total net return over 27 trades. On the KDJ side, Wu and Diao (2015) and Dai et al. (2020) both reported statistically significant predictive value for KDJ-family indicators, without building those signals into a full entry-and-exit strategy with real risk management. This study did, and the result sits above the single-indicator figures those studies report. That comparison is not proof the combination itself drove the improvement; Limitation 2 below already flags how much of the return sits in three trades. It is offered as honest context for where these numbers sit next to the prior literature, not as a stronger claim than the data support.</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study does not model leverage or margin, and reports unlevered returns throughout. The engine checks every exit on candle closes rather than on price movement inside a candle, so a leverage model on top would inherit that limit and report liquidations it cannot actually establish.</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and maximum drawdown are each computed once on one realized price path, so no confidence interval or p-value attaches to the difference between arms. A different four-year window could reverse the ordering, as Table 11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This study's strategy design, code, and statistics were not reviewed by a licensed financial professional or a quantitative-trading practitioner before submission. Verification was internal only, through the regression harness described in Appendix A and the hand recomputation of every headline number in Appendix D. The codebase behind the reported figures will be independently verified by a subject-matter expert in the days after submission, and the results should be read as pending that verification.</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one timeframe only, 4-hour candles. Faster and slower timeframes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 leverage or margin is modeled anywhere in this study. All returns reported are unlevered, spot-only returns.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percentile bootstrap of 10,000 resamples put the 95% interval on total return at [+5.99%, +54.99%], which excludes zero, so the return finding holds up directionally in this window. The win-rate significance does not. A realistic 0.20% round-trip cost moves p from 0.0261 to 0.1239, and every stricter scenario moves it further, driven by exactly two marginal trades. Since that is the realistic assumption, the answer this paper carries forward is that H₀₁ is not rejected once costs a real trader would pay are charged.</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On the second research question, weekly buying beat the strategy on final value from equal capital while the strategy had the stronger risk-adjusted shape at 2.63% time in market against 100%. On the third, both risk-adjusted measures improved steadily as the strategy share rose from 0% to 30% inside a weekly buying plan, settled descriptively with no p-value attached. The forward test that came after every code change returned −3.45% across four trades. It is too small to settle anything, and it is also the only evidence out-of-sample in both senses.</w:t>
      </w:r>
      <w:r w:rsidDel="00000000" w:rsidR="00000000" w:rsidRPr="00000000">
        <w:rPr>
          <w:rtl w:val="0"/>
        </w:rPr>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and timeframes.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5">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Brolley, M., &amp; Cimon, D. A. (2020). Order-flow segmentation, liquidity, and price discovery: The role of latency delays. </w:t>
      </w:r>
      <w:r w:rsidDel="00000000" w:rsidR="00000000" w:rsidRPr="00000000">
        <w:rPr>
          <w:rFonts w:ascii="Times New Roman" w:cs="Times New Roman" w:eastAsia="Times New Roman" w:hAnsi="Times New Roman"/>
          <w:i w:val="1"/>
          <w:iCs w:val="1"/>
          <w:rtl w:val="0"/>
        </w:rPr>
        <w:t xml:space="preserve">Journal of Financial and Quantitative Analysis, 55</w:t>
      </w:r>
      <w:r w:rsidDel="00000000" w:rsidR="00000000" w:rsidRPr="00000000">
        <w:rPr>
          <w:rFonts w:ascii="Times New Roman" w:cs="Times New Roman" w:eastAsia="Times New Roman" w:hAnsi="Times New Roman"/>
          <w:rtl w:val="0"/>
        </w:rPr>
        <w:t xml:space="preserve">(8), 2555–2587. </w:t>
      </w:r>
      <w:r w:rsidDel="00000000" w:rsidR="00000000" w:rsidRPr="00000000">
        <w:rPr>
          <w:rFonts w:ascii="Times New Roman" w:cs="Times New Roman" w:eastAsia="Times New Roman" w:hAnsi="Times New Roman"/>
          <w:rtl w:val="0"/>
        </w:rPr>
        <w:t xml:space="preserve">https://doi.org/10.1017/S002210901900067X</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A., &amp; Escribano, A. (2020). Measuring the multi-faceted dimension of liquidity in financial markets: A literature review. </w:t>
      </w:r>
      <w:r w:rsidDel="00000000" w:rsidR="00000000" w:rsidRPr="00000000">
        <w:rPr>
          <w:rFonts w:ascii="Times New Roman" w:cs="Times New Roman" w:eastAsia="Times New Roman" w:hAnsi="Times New Roman"/>
          <w:i w:val="1"/>
          <w:iCs w:val="1"/>
          <w:rtl w:val="0"/>
        </w:rPr>
        <w:t xml:space="preserve">Research in International Business and Finance, 51</w:t>
      </w:r>
      <w:r w:rsidDel="00000000" w:rsidR="00000000" w:rsidRPr="00000000">
        <w:rPr>
          <w:rFonts w:ascii="Times New Roman" w:cs="Times New Roman" w:eastAsia="Times New Roman" w:hAnsi="Times New Roman"/>
          <w:rtl w:val="0"/>
        </w:rPr>
        <w:t xml:space="preserve">, Article 101079. </w:t>
      </w:r>
      <w:r w:rsidDel="00000000" w:rsidR="00000000" w:rsidRPr="00000000">
        <w:rPr>
          <w:rFonts w:ascii="Times New Roman" w:cs="Times New Roman" w:eastAsia="Times New Roman" w:hAnsi="Times New Roman"/>
          <w:rtl w:val="0"/>
        </w:rPr>
        <w:t xml:space="preserve">https://doi.org/10.1016/j.ribaf.2019.101079</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5 and 6</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Cardo" w:cs="Cardo" w:eastAsia="Cardo" w:hAnsi="Cardo"/>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Sharpe, drawdown</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sharpe_ratio() and max_drawdown_pct()</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equity curve, 210 weekly contributions, 2022 to 2026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annualization matched per arm</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formulas below are reproduced in full so a reader can check each exact expression. Formula numbering runs 1, 2, and 3.</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net percentage return.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D1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net return.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9 adds the 27 returns. The Final capital column compounds them. To compound, divide each return by 100, add 1, and multiply all 27 results together. That product is 1.341777, so the compounded return is +34.18% and $10,000 × 1.341777 = $13,417.77. For the net-of-cost row in Table 10, subtract 0.20 from each return first, then compound the same way. The product is 1.271900, giving +27.19% and $12,719.00. The paper reports $12,719.01; the one-cent gap comes from Table D1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D1. The total is 231 candles held. The window has 8,767 candles, and 231 ÷ 8,767 = 0.026349, which is the 2.6349% in the note to Table 9,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splits the same 27 trades by the year of the entry time in Table D1.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5 from Table D1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D1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D1 is +0.1196 at index 7938, then +0.1264 at 8188, +0.2507 at 2859, and +0.3779 at 5825. That ordering decides which trades flip at each cost level. The p-value for each row comes from E2.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D1.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with df = n − 2 = 25. Spearman's ρ uses the same two columns after replacing each value with its rank, giving ρ = 0.479728, reported as +0.4797. The p-values attached to both, 0.0094 and 0.0113, come from SciPy and are not hand-computable; see E10.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Candle count. 1,461 days × 6 candles per day = 8,766 intervals, plus the final stored row = 8,767 rows. Weekly contribution. $10,000 ÷ 210 weeks = $47.6190; for the 2018 window, $10,000 ÷ 209 = $47.8469. Annualization factor for 4-hour bars. 6 × 365.25 = 2,191.5; for weekly figures it is 52. Combined window in Table 8.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D1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9 through 12. These are computed from full equity curves, one value per bar or per contribution week, not from trade returns.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Table 6,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11, the 2018 to 2022 window, and Table 7, the 2026 forward test. These use trade sets that are not printed in this paper.</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