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A Rule-Based Bitcoin Trading Strategy Tested Against Dollar-Cost Averaging,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pPr>
        <w:spacing w:after="0" w:line="480" w:lineRule="auto"/>
        <w:jc w:val="center"/>
        <w:rPr>
          <w:rFonts w:ascii="Times New Roman" w:cs="Times New Roman" w:eastAsia="Times New Roman" w:hAnsi="Times New Roman"/>
        </w:rPr>
      </w:pPr>
      <w:r>
        <w:rPr>
          <w:rFonts w:ascii="Times New Roman" w:cs="Times New Roman" w:eastAsia="Times New Roman" w:hAnsi="Times New Roman"/>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A Rule-Based Bitcoin Trading Strategy Tested Against Dollar-Cost Averaging,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br/>
        <w:tab/>
        <w:t>From 2022 to 2026, buying a fixed amount of Bitcoin every week ended with more money than a rule-based trading strategy: $22,312.94 against $13,417.77 from the same $10,000, though the strategy won 70.37% of its 27 trades. The strategy combines MACD, KDJ, ATR, and Smart Money Concepts Order Blocks. Its rules were set by eye on 2018 to 2022 charts and fixed before testing, then applied to 8,767 four-hour candles as unlevered long and short futures trades. Before costs it returned +30.31% (one-sided exact binomial p = 0.0261). After a 0.20% round-trip cost, p rose to 0.1239; with stops checked against candle highs and lows, it was 0.061 even before costs. After costs, the 95% bootstrap interval on total return was [+0.59%, +49.59%] with trades resampled singly but [−1.29%, +49.96%] with runs of consecutive trades resampled, so the return was positive before costs but not clearly above zero after. Inside a weekly buying plan, moving 30% of contributions into the strategy raised the after-cost Sharpe ratio from 0.555 to 0.621 and cut the worst drop from −36.02% to −26.43%, slightly better than holding that 30% as cash (0.585, −27.34%). A January to July 2026 forward test lost 3.45% over four trades. Removing any one indicator gate lowered average return per trade, but not significantly after a Holm correction, and on 1-hour candles the rules lost 0.18% per trade after costs (p = 0.696). Costs decided whether the win rate was significant; weekly buying won on final value either way.</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dot" w:pos="935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w:t>
            <w:tab/>
            <w:t>6</w:t>
          </w:r>
        </w:p>
        <w:p w:rsidR="00000000" w:rsidDel="00000000" w:rsidP="00000000" w:rsidRDefault="00000000" w:rsidRPr="00000000" w14:paraId="00000021">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w:t>
            <w:tab/>
            <w:t>11</w:t>
          </w:r>
        </w:p>
        <w:p w:rsidR="00000000" w:rsidDel="00000000" w:rsidP="00000000" w:rsidRDefault="00000000" w:rsidRPr="00000000" w14:paraId="00000022">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w:t>
            <w:tab/>
            <w:t>13</w:t>
          </w:r>
        </w:p>
        <w:p w:rsidR="00000000" w:rsidDel="00000000" w:rsidP="00000000" w:rsidRDefault="00000000" w:rsidRPr="00000000" w14:paraId="00000022">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"_hypotheses" </w:instrText>
            <w:fldChar w:fldCharType="separate"/>
          </w:r>
          <w:r w:rsidDel="00000000" w:rsidR="00000000" w:rsidRPr="00000000">
            <w:rPr>
              <w:rFonts w:ascii="Times New Roman" w:cs="Times New Roman" w:eastAsia="Times New Roman" w:hAnsi="Times New Roman"/>
              <w:rtl w:val="0"/>
            </w:rPr>
            <w:t xml:space="preserve">Hypotheses</w:t>
            <w:tab/>
            <w:t>13</w:t>
          </w:r>
        </w:p>
        <w:p w:rsidR="00000000" w:rsidDel="00000000" w:rsidP="00000000" w:rsidRDefault="00000000" w:rsidRPr="00000000" w14:paraId="0000002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16</w:t>
          </w:r>
        </w:p>
        <w:p w:rsidR="00000000" w:rsidDel="00000000" w:rsidP="00000000" w:rsidRDefault="00000000" w:rsidRPr="00000000" w14:paraId="0000002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16</w:t>
          </w:r>
        </w:p>
        <w:p w:rsidR="00000000" w:rsidDel="00000000" w:rsidP="00000000" w:rsidRDefault="00000000" w:rsidRPr="00000000" w14:paraId="00000025">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w:t>
            <w:tab/>
            <w:t>17</w:t>
          </w:r>
        </w:p>
        <w:p w:rsidR="00000000" w:rsidDel="00000000" w:rsidP="00000000" w:rsidRDefault="00000000" w:rsidRPr="00000000" w14:paraId="0000002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w:t>
            <w:tab/>
            <w:t>19</w:t>
          </w:r>
        </w:p>
        <w:p w:rsidR="00000000" w:rsidDel="00000000" w:rsidP="00000000" w:rsidRDefault="00000000" w:rsidRPr="00000000" w14:paraId="00000027">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w:t>
            <w:tab/>
            <w:t>20</w:t>
          </w:r>
        </w:p>
        <w:p w:rsidR="00000000" w:rsidDel="00000000" w:rsidP="00000000" w:rsidRDefault="00000000" w:rsidRPr="00000000" w14:paraId="0000002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w:t>
            <w:tab/>
            <w:t>26</w:t>
          </w:r>
        </w:p>
        <w:p w:rsidR="00000000" w:rsidDel="00000000" w:rsidP="00000000" w:rsidRDefault="00000000" w:rsidRPr="00000000" w14:paraId="00000029">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w:t>
            <w:tab/>
            <w:t>29</w:t>
          </w:r>
        </w:p>
        <w:p w:rsidR="00000000" w:rsidDel="00000000" w:rsidP="00000000" w:rsidRDefault="00000000" w:rsidRPr="00000000" w14:paraId="0000002A">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34</w:t>
          </w:r>
        </w:p>
        <w:p w:rsidR="00000000" w:rsidDel="00000000" w:rsidP="00000000" w:rsidRDefault="00000000" w:rsidRPr="00000000" w14:paraId="0000002B">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Hypothesis H₁</w:t>
            <w:tab/>
            <w:t>34</w:t>
          </w:r>
        </w:p>
        <w:p w:rsidR="00000000" w:rsidDel="00000000" w:rsidP="00000000" w:rsidRDefault="00000000" w:rsidRPr="00000000" w14:paraId="0000002C">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 and Hypothesis H₂</w:t>
            <w:tab/>
            <w:t>41</w:t>
          </w:r>
        </w:p>
        <w:p w:rsidR="00000000" w:rsidDel="00000000" w:rsidP="00000000" w:rsidRDefault="00000000" w:rsidRPr="0000000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"_sop4ablation" </w:instrText>
            <w:fldChar w:fldCharType="separate"/>
          </w:r>
          <w:r w:rsidDel="00000000" w:rsidR="00000000" w:rsidRPr="00000000">
            <w:rPr>
              <w:rFonts w:ascii="Times New Roman" w:cs="Times New Roman" w:eastAsia="Times New Roman" w:hAnsi="Times New Roman"/>
              <w:rtl w:val="0"/>
            </w:rPr>
            <w:t xml:space="preserve">Answers to SOP 3</w:t>
            <w:tab/>
            <w:t>45</w:t>
          </w:r>
        </w:p>
        <w:p w:rsidR="00000000" w:rsidDel="00000000" w:rsidP="00000000" w:rsidRDefault="00000000" w:rsidRPr="00000000" w14:paraId="0000002E">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w:t>
            <w:tab/>
            <w:t>51</w:t>
          </w:r>
        </w:p>
        <w:p w:rsidR="00000000" w:rsidDel="00000000" w:rsidP="00000000" w:rsidRDefault="00000000" w:rsidRPr="00000000" w14:paraId="0000002F">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53</w:t>
          </w:r>
        </w:p>
        <w:p w:rsidR="00000000" w:rsidDel="00000000" w:rsidP="00000000" w:rsidRDefault="00000000" w:rsidRPr="00000000" w14:paraId="0000003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56</w:t>
          </w:r>
        </w:p>
        <w:p w:rsidR="00000000" w:rsidDel="00000000" w:rsidP="00000000" w:rsidRDefault="00000000" w:rsidRPr="00000000" w14:paraId="00000031">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57</w:t>
          </w:r>
        </w:p>
        <w:p w:rsidR="00000000" w:rsidDel="00000000" w:rsidP="00000000" w:rsidRDefault="00000000" w:rsidRPr="00000000" w14:paraId="00000032">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w:t>
            <w:tab/>
            <w:t>59</w:t>
          </w:r>
        </w:p>
        <w:p w:rsidR="00000000" w:rsidDel="00000000" w:rsidP="00000000" w:rsidRDefault="00000000" w:rsidRPr="00000000" w14:paraId="0000003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w:t>
            <w:tab/>
            <w:t>63</w:t>
          </w:r>
        </w:p>
        <w:p w:rsidR="00000000" w:rsidDel="00000000" w:rsidP="00000000" w:rsidRDefault="00000000" w:rsidRPr="00000000" w14:paraId="0000003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63</w:t>
          </w:r>
        </w:p>
        <w:p w:rsidR="00000000" w:rsidDel="00000000" w:rsidP="00000000" w:rsidRDefault="00000000" w:rsidRPr="00000000" w14:paraId="00000035">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69</w:t>
          </w:r>
        </w:p>
        <w:p w:rsidR="00000000" w:rsidDel="00000000" w:rsidP="00000000" w:rsidRDefault="00000000" w:rsidRPr="00000000" w14:paraId="0000003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69</w:t>
          </w:r>
        </w:p>
        <w:p w:rsidR="00000000" w:rsidDel="00000000" w:rsidP="00000000" w:rsidRDefault="00000000" w:rsidRPr="00000000" w14:paraId="00000037">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70</w:t>
          </w:r>
        </w:p>
        <w:p w:rsidR="00000000" w:rsidDel="00000000" w:rsidP="00000000" w:rsidRDefault="00000000" w:rsidRPr="00000000" w14:paraId="0000003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70</w:t>
          </w:r>
        </w:p>
        <w:p w:rsidR="00000000" w:rsidDel="00000000" w:rsidP="00000000" w:rsidRDefault="00000000" w:rsidRPr="00000000" w14:paraId="00000039">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w:t>
            <w:tab/>
            <w:t>73</w:t>
          </w:r>
        </w:p>
        <w:p w:rsidR="00000000" w:rsidDel="00000000" w:rsidP="00000000" w:rsidRDefault="00000000" w:rsidRPr="00000000" w14:paraId="0000003A">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73</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Money has moved online over the last thirty years, and phones and digital payments have brought financial services to far more people. Across 123 economies, 76% of adults had a formal financial account by 2021, up from 51% in 2011, mostly through mobile money and e-wallets in developing countries (Demirgüç-Kunt et al., 2022). For many people, these tools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Cryptocurrency is one product of this shift. A cryptocurrency is a digital asset whose ownership is recorded on a blockchain, a public ledger kept by many computers instead of one bank. It can be traded directly, with no bank or broker, using only a phone and an internet connection (Schär, 2021). In places like Magalang, Pampanga, where bank branches are few, crypto platforms are often a person's first way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Many young people learn about money by investing it. In a 2022 United States survey of adults aged 18 to 25, 56% already held investments; of these, 55% owned cryptocurrency, 41% owned individual stocks, and nearly half got their investing information mainly from social media (FINRA Investor Education Foundation &amp; CFA Institute, 2023). Filipino studies show the same link between knowledge and investing. Among 384 college students in Metro Manila, financial knowledge was the only significant predictor of stock investing (Arena et al., 2023), and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Bitcoin launched in 2009 as the first fully decentralized cryptocurrency (Nakamoto, 2008). It trades around the clock, has no circuit breakers, and has no central bank or company earnings behind it. Its price therefore swings more than most assets, which is both its main risk and its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When a very large buyer or seller pushes price hard, the chart usually shows the price area where that position was built before the move. Smart Money Concepts, a practitioner trading framework, calls these areas Order Blocks; this study uses the LuxAlgo version (LuxAlgo, 2022). The term comes from trading practice, not research. Research does support the narrower idea behind it: large traders split and time big orders, which moves both resting orders and short-term price (Bessembinder et al., 2009; Biais et al., 2005). The strategy waits for price to return to such an area, checks that the pullback is weakening, enters, sets its stop by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Because Bitcoin trades non-stop and reacts fast to sentiment, fundamentals help little with short-term decisions. Traders use technical analysis instead: forecasting price from past price and volume (Svogun &amp; Bazán-Palomino, 2022). It assumes that price already reflects what the market knows and that people repeat their behavior, so chart patterns may repeat. The evidence is mixed. Technical rules have shown short-term predictive value in liquid crypto markets (Corbet et al., 2019), but Fang et al. (2014) found that simple technical rules lost their power on data they had not been fitted to. That is why this study keeps a forward test and a holdout.</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study combines three kinds of tools. Each answers a different question about price: which way it is likely to move, how hard it is moving, and where large traders have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first is MACD (Moving Average Convergence Divergence). It plots the gap between a fast and a slow moving average as a histogram, which shows whether momentum is building or fading (Chong &amp; Ng, 2008). It reports current momentum; it does not predict reversals. On 60 years of London Stock Exchange data, MACD beat buy-and-hold in most of the cases tested (Chong &amp; Ng, 2008). On 178 Philippine stocks over 12 years, about 35% were consistently profitable under standard MACD settings and about 51% under a faster setting (Navarro &amp; Navarro, 2023). Because results vary this much with market and settings, this study measures MACD's contribution directly. Here the histogram's slope is the momentum check: below zero but rising favors a long, and above zero but falling favors a short.</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second is the KDJ oscillator, which moves within a fixed range, so readings near either end flag unusual conditions. It is a stochastic oscillator with an extra line, J, that makes disagreements between price and momentum easier to see. It starts from the Raw Stochastic Value: where the close sits within the high-to-low range of recent candles. K and D smooth that value, and J is three times K minus two times D, so it reacts faster than either (Wu &amp; Diao, 2015). On eight years of Shanghai and Shenzhen data, MACD, RSI, and KDJ together predicted short-term moves better than the market period alone would explain (Wu &amp; Diao, 2015), and KDJ and related indicators gave statistically and economically significant stock-return forecasts, in-sample and out-of-sample (Dai et al., 2020). Neither paper builds a full entry-and-exit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study uses two separate KDJ calculations. The first is a fixed nine-period series over the whole dataset; it decides entries and never changes. The second runs only while a trade is open, to time one kind of exit. Its window adapts to the number of candles between the Order Block that triggered the trade and the entry candle; across the 27 trades it ranged from 14 to 439 candles, with a median of 74. This ties exit timing to the structure behind the trade while keeping entries fixed.</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third tool, the Average True Range (ATR) introduced by Wilder (1978), measures how hard price is moving, not which way. True range is the largest of three numbers: the high minus the low, the gap between the high and the previous close, or the gap between the low and the previous close. ATR averages it over a window. A 14-period ATR sets the stop-loss distance, the trailing exit, and one profit-taking exit; a 200-period ATR gives a long-run baseline used to filter market conditions and judge Order Blocks. With two windows, risk settings scale with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Here ATR sets only distances, not position size. Many trading desks risk the same dollar amount on every trade and shrink the position when ATR is wide; this study does not. The stop sits a multiple of ATR from entry, wider in volatile markets and tighter in calm ones, and the trailing and profit-taking exits are measured in ATR too. Every trade uses the full account at 1x, with no borrowed money (Section E).</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None of these tools accounts for very large participants. Smart Money Concepts tries to, by reading raw price structure instead of statistical averages. Its practitioners argue that large traders need resting orders on the other side to fill big positions, so price tends to return to where such a position was built (LuxAlgo, 2022). That is a trading heuristic, not an established finding; the studies above support only the narrower point that large orders are split and timed. Order Blocks are detected at two levels, a 50-candle lookback for larger swings and a 5-candle lookback for smaller structure, and each is judged against five quality criteria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Earlier studies tested MACD, KDJ, chart patterns, and other technical rules alone or in pairs (Chong &amp; Ng, 2008; Corbet et al., 2019; Lv et al., 2017). We found none that tests MACD, an adaptive KDJ exit, a dual-ATR risk framework, and Order Block detection together in one cryptocurrency backtest. The gap is not whether each tool works alone, which has been studied, but what combining them does, for better or worse, compared with the passive options an ordinary participant would use. This study addresses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strategy only matters compared with what a person would otherwise do. For most retail participants that is not another algorithm, but dollar-cost averaging (buying a fixed amount on a fixed schedule regardless of price) or a single lump-sum purchase held without further action. Dollar-cost averaging is the default recurring-buy feature of most exchanges and savings apps, and the standard baseline in research on systematic retail investing (Finlay &amp; Zorn, 2023). Constantinides (1979) showed it is suboptimal under standard expected-utility assumptions, because delaying investment gives up expected return. Statman (1995) argued it survives anyway because it meets behavioural needs, such as regret aversion and self-control. Weak in theory but dominant in practice, it is the right benchmark for a study aimed at ordinary participants. This paper therefore tests the strategy against weekly dollar-cost averaging and lump-sum buy-and-hold over the same window from the same capital, then asks a practical question: does putting part of a weekly buying plan into the strategy improve the plan?</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rules were built on one period and tested on another. Every rule, parameter, and threshold was set by eye from BTC/USDT charts over January 2018 to January 2022, drawing on prior trading experience. That period was never fed into a search, sweep, or optimizer, and no parameter was adjusted to improve a measured result. The main findings come from January 2022 to January 2026, which the rules were not built 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Two follow-up analyses were added after these results were fixed. Each was pre-specified: its tests, resample counts, and random seeds were written into a dated file before any of its numbers were computed. The files, experimental/PREREGISTRATION.md and experimental/PREREGISTRATION_1H.md, were both committed on 2026-10-26 and are headed "Status: EXPLORATORY". The decision to include them in this paper was made after their results were read. The first file's primary test, a machine-learning trade filter, failed and is reported in Limitation 14. The first analysis asks how much each of the four indicator gates contributes to the result. The second asks whether the same rules still work on 1-hour candles, which give four times as many candles and could, in principle, give more trades. Together they form the third research question, answered under SOP 3 in the Findings.</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Access to financial services in the Philippines has grown much faster than participation in markets. The share of Filipino adults with an account rose from 29% in 2019 to 56% in 2021, driven mostly by e-money accounts (8% to 36%), while investment uptake, excluding pension contributions, fell from 15% to 10% (Bangko Sentral ng Pilipinas, 2022). More Filipinos can reach a market than ever, but fewer are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study speaks to that gap. Open, reproducible research gives a first-time participant more than a screenshot of someone's returns: a full rule set, the data it was tested on, and an honest account of where it failed. The work supports United Nations Sustainable Development Goal 8, on inclusive economic growth, by turning market participation into transparent, repeatable rules (United Nations, 2015). It also supports financial literacy: young people mostly meet trading through screenshots of gains, and this study shows a complete rule set tested against simple weekly saving, losses included. It uses only public data and open-source tools, so it can be reproduced anywhere.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Responsible use. This paper is a research report, not investment advice, and it does not recommend buying, selling, or holding Bitcoin or any other asset. Cryptocurrency carries a high risk of loss: over this window, a single Bitcoin purchase at one point stood 66.93% below its earlier peak at a daily close (Table 10). In the Philippines, platforms that exchange or hold cryptocurrency for customers are regulated by the Bangko Sentral ng Pilipinas as virtual asset service providers (Bangko Sentral ng Pilipinas, 2021), and the Philippine Securities and Exchange Commission also regulates crypto-asset service providers. Anyone who trades should use a registered platform and only money they can afford to lose. Is this gambling? No money was traded. The study tested whether fixed, published rules beat simple saving and found that they did not, the opposite of a get-rich claim.</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Bitcoin is hard to forecast over short periods. It trades 24 hours a day, moves sharply, and forms price structure that practitioners attribute to large participants. MACD and KDJ have each shown predictive value alone. What has not been tested is how they perform combined with volatility-based risk management and Order Block detection, and how that compares with the passive options an ordinary participant would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This study answers three questions, called SOP 1 to SOP 3 (for Statement of the Problem):</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 How well does the combined MACD, KDJ, ATR, and Smart Money Concepts strategy predict short-term Bitcoin price moves, measured by win rate, total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Starting from the same capital, how does the strategy compare with weekly dollar-cost averaging into Bitcoin and a single lump-sum purchase held to the end of the window, on total return, Sharpe ratio, maximum drawdown, and time in market? And does moving a growing share of new weekly contributions into the strategy improve the risk-adjusted profile of an ordinary dollar-cost-averaging plan?</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3. Can the strategy trade more often without lowering its return per trade? This is judged by how much each of the four indicator gates (a gate is a condition that must be true before a trade is allowed: the MACD histogram, KDJ, K-acceleration, and ATR-regime gates) adds to average return per trade, and by whether the same rules keep a positive average return per trade after costs on 1-hour instead of 4-hour candles?</w:t>
      </w:r>
    </w:p>
    <w:p w:rsidR="00000000" w:rsidDel="00000000" w:rsidP="00000000" w:rsidRDefault="00000000" w:rsidRPr="00000000" w14:paraId="00000059">
      <w:pPr>
        <w:spacing w:after="0" w:line="480" w:lineRule="auto"/>
        <w:rPr>
          <w:rFonts w:ascii="Times New Roman" w:cs="Times New Roman" w:eastAsia="Times New Roman" w:hAnsi="Times New Roman"/>
        </w:rPr>
      </w:pPr>
      <w:bookmarkStart w:id="9100" w:name="_hypotheses"/>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bookmarkEnd w:id="9100"/>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 The combined strategy produces a statistically significant win rate above 50% on BTC/USDT 4-hour candles over the January 2022 to January 2026 test window.</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plain terms: does the strategy win more often than a coin flip by too much to be luck? It is tested with a one-sided exact binomial test (Section F) on the trades after a 0.20% round-trip cost, the cost a real trader would pay (Table 4). That cost basis was not written down before the gross result was known, so the gross result is reported beside it. With 27 trades the test has limited power (Limitation 2), so a non-significant result is inconclusive, not evidence that no edge exists.</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H₂: Blending a strategy allocation into a Bitcoin dollar-cost-averaging plan improves that plan's risk-adjusted profile, as measured by the Sharpe ratio and maximum drawdown,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Stating the hypothesis formally fixes the direction of the claim before the numbers are seen, but its decision rule is stricter than the sentence above. A strategy sleeve sits in cash about 97% of the time, and moving part of a weekly plan into cash would smooth it whatever the strategy does. H₂ is therefore judged against a cash control: the same 10%, 20%, and 30% shares held as cash earning nothing. H₂ is supported only if, at every share, the strategy sleeve beats the cash sleeve on both the Sharpe ratio and maximum drawdown, after a 0.20% round-trip cost on every strategy trade and a 0.10% markup on every Bitcoin purchase. The cash control and this rule were added after an outside review of an earlier draft, when the blended results without the control were already known. The rule is descriptive: formal tests for a difference between Sharpe ratios exist (Ledoit &amp; Wolf, 2008) but were not run, so H₂ has no p-value.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third research question has no hypothesis of its own, because its two follow-up analyses were added after the headline result was known. Its gate comparison sets nine gate settings against the full rule, so nine tests run at once. With nine tests and no real effect, at least one would still fall below 0.05 about 37% of the time by luck alone, assuming independent tests (1 − 0.95⁹ = 0.37). Each p-value is therefore adjusted with the Holm method (Holm, 1979), and the comparison is treated as exploratory, even though no gate setting was changed to answer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Its 1-hour part has one pre-registered test, which is not a study hypothesis: do the unchanged rules earn a positive average return per trade after a 0.20% round-trip cost on 1-hour BTC/USDT candles over 2022 to 2026? The null hypothesis is H₀: μ_net ≤ 0, rejected if the one-sided p is below 0.05. The test, resample count, and random seed were pre-registered before any 1-hour indicator or trade was computed. It uses average return after costs rather than win rate, because a faster timeframe can change how large wins and losses are, not only how often they happen. The H₁ win-rate test is also reported for comparison.</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is a retrospective quantitative backtest. The strategy runs candle by candle over historical BTC/USDT 4-hour data, as it would have traded in real time, and never sees a candle that had not closed when a decision was made. No parameter was fitted, swept, or optimized against the measured outcome.</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rules, parameters, and thresholds were set by eye from January 2018 to January 2022 charts. The main findings come from January 2022 to January 2026. A stricter third test uses January to July 2026, after every change to the strategy code. Figure 1 shows the three periods.</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separation has two limits. First, the build period was read by eye, not fitted numerically, so the rules carry whatever bias visual pattern recognition brings, and the separation cannot be measured like a held-out split in a machine-learning study. Second, the 2022 to 2026 window is unseen for rule building but not for code checking, because the bug described in the Limitations was found while examining it. Only the January to July 2026 test is unseen in both senses.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two follow-up analyses keep the same windows, with one addition. The gate comparison in SOP 3 runs separately on the 2018 to 2022 and 2022 to 2026 windows. The 1-hour test uses 2022 to 2026 as its main window and adds a one-time holdout, 2026-08-08 to 2026-10-26, that no version of the strategy had seen; the script that reads it refuses to run twice. Figure 1 shows only the three 4-hour periods.</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4-hour timestamps are UTC+8; only the 1-hour data below is kept in UTC. These are spot prices. The strategy is modelled as trading the BTCUSDT perpetual futures contract (Section E), and spot prices stand in for it; the small, changing gap between the two, called the basis, is not modelled. Figure 2 shows the collection and verification steps.</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dataset runs from 2022-01-01 08:00:00 to 2026-01-01 08:00:00, exactly 1,461 days (365 + 365 + 366 + 365, the 366 covering the 2024 leap day). At six 4-hour candles a day that is 1,461 × 6 = 8,766 intervals, and the closing candle is stored as its own row, so the file holds 8,766 + 1 = 8,767 rows. Every gap between consecutive candles is four hours, with no duplicates and no missing candle.</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2018 to 2022 build window holds 8,750 rows against 8,767 expected: seventeen candles missing across eight exchange outages, the largest a seven-candle gap. This does not affect any figure from the primary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BTC/USDT 1-hour candlestick data (Binance, via API). For the 1-hour test in SOP 3 only, 1-hour candles were pulled once from the same endpoint on 2026-10-26: 77,164 closed candles from 2018-01-01 00:00 to 2026-10-26 05:00, kept in UTC with no eight-hour shift. The feed has 27 gaps totalling 122 missing hours, all but one in 2018 to 2021, left unfilled as in the 4-hour data. Combined back into 4-hour candles, 18,826 of 18,828 matched the 4-hour file exactly. Of the other two, one sits on a missing hour and the other is the 4-hour file's last candle, still open when that file was saved.</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SciPy. A free, open-source scientific library for Python, widely used in published research (Virtanen et al., 2020). Every standard textbook test in this paper is an unmodified scipy.stats call.</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Average True Range (Wilder, 1978). True range follows Wilder's definition, but both ATR windows use a plain rolling mean rather than Wilder's exponential smoothing, because that is what the code does.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Web-based verification dashboard. A separately written JavaScript dashboard recomputes the indicators and entry conditions in the browser, as a cross-check from a second codebase. Its scope is deliberately narrow: it does not detect Order Blocks, Fair Value Gaps, or liquidity sweeps, and it imports nothing from the Python analysis. Because of that independence, the two bootstrap intervals in the Findings are reported separately, not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Independent variable. How capital is allocated over the same price history, at six levels. Three are standalone arms: the strategy alone, weekly dollar-cost averaging into Bitcoin, and one lump-sum purchase held to the end. Three are blends that put 10%, 20%, or 30% of new weekly contributions into the strategy and dollar-cost average the rest. The 0% blend is pure weekly averaging and serves as the blend's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return before and after costs,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Controlled variables. Trading pair, candle interval, and backtest window are the same for every arm. The MACD, KDJ, and ATR settings, exit rules, and minimum reward-to-risk are the same wherever the strategy appears. Every head-to-head arm starts with $10,000. The averaging arm and every blend use 210 equal weekly contributions. Within a comparison, every arm pays the same cost rate.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Follow-up analyses. In the SOP 3 gate comparison, the independent variable is which entry gates are on: nine settings plus the full rule. In the 1-hour test it is the candle interval, at three levels: 4-hour; 1-hour with every setting unchanged (the literal version); and 1-hour with every window stretched four times (the time-scaled version). The dependent variables are trade count, trades per year, win rate, and average and total return per trade before and after a 0.20% round-trip cost. Every Table 1 threshold, every exit rule, and the Order Block detection code are held fixed.</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MACD (12, 26, 9). Momentum comes from the gap between a fast and a slow exponential moving average, using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KDJ (9, 3, 3), the fixed entry gate. Computed once over the whole dataset; every K, D, and J value in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KDJ, the adaptive exit series. A second, separate system that only times one exit after a trade is open and never shares state with the fixed series. At entry it is seeded from the fixed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On each later candle, the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Order Block detection. Two independent passes run over the same price series: one with a 5-candle pivot lookback for internal structure and one with a 50-candle lookback for swing structure. Figure 3 shows the detection and scoring steps.</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each pass, a candle becomes a pivot high only by right-side comparison: its high must exceed every following high up to the breakout candle. A pivot low is the mirror. No future candle is read. A break of structure is flagged when price closes across a tracked pivot, and an Order Block is created from the segment between the pivot candle and the candle whose close confirms the break. Two candles are tracked separately on purpose: the one holding the Order Block's extreme and the one where the breakout closes. An Order Block can trigger an entry only after its confirmation candle. It expires after 500 candles, or as soon as price closes back through its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Order Block quality criteria. Each Order Block is scored on five true-or-false criteria. Their sum, 0 to 5, is used only as an eligibility threshold, which is 0 in the baseline,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Large Origin Candle: the Order Block candle's high minus low is at least ATR₂₀₀ at that candle, so the candle is at least as tall as the long-run average.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 (never fires; see note)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Note. Every value was set during the 2018 to 2022 formulation period and never adjusted; no dated record of when the values were fixed survives (Limitation 3). The breakeven-stop trigger never fires: the ATR-move exit at 1.8 times ATR is checked first, so any trade whose close moves 2.0 times ATR in its favour has already exited. The rule is kept as frozen and changes no result.</w:t>
      </w:r>
      <w:r w:rsidDel="00000000" w:rsidR="00000000" w:rsidRPr="00000000">
        <w:rPr>
          <w:rFonts w:ascii="Times New Roman" w:cs="Times New Roman" w:eastAsia="Times New Roman" w:hAnsi="Times New Roman"/>
          <w:sz w:val="20"/>
          <w:szCs w:val="20"/>
          <w:rtl w:val="0"/>
        </w:rPr>
        <w:t xml:space="preserve"/>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Entry conditions. A long entry needs all six conditions in Figure 4 at the same candle close and is entered at that close. A short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Exit conditions. Exits are checked on every candle in the fixed order in Figure 5; the first condition met triggers the exit. Every exit, including the stop-loss, is checked against the candle's close and filled at that close. A real stop order fills as soon as price touches it, even inside a candle, so this close-based stop can miss a stop that price touched and left, and can book a loss larger than the stop distance. Table 5 reruns the 27 trades with the stop checked against each candle's high and low.</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Time-scaled 1-hour version (1-hour test in SOP 3 only). An hour is a quarter of a 4-hour candle, so the time-scaled version multiplies every window counted in candles by four to cover the same clock time: MACD (48, 104, 36), a KDJ window of 36, ATR windows of 56 and 800, pivot lookbacks of 20 and 200, and an Order Block expiry of 2,000 candles. Pattern shapes and price thresholds are not windows and stay as in Table 1: the two-candle MACD rise, the three-candle K-acceleration and its range, the stop-loss and reward-to-risk minimums, the exit multiples, and the Order Block quality windows. The literal version changes nothing, so each window covers a quarter of its 4-hour clock time.</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section gives the full construction of every comparison arm, so Tables 10 to 13 can be rebuilt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Shared timing rule. A contribution lands on the first bar of every ISO calendar week and buys at that bar's close. The blended model and the head-to-head averaging arm both use this rule, so they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Head-to-head arms. Each starts from $10,000. The strategy arm holds the full amount in cash from the first bar. While a trade is open, its value is marked to market at every candle close: the value at entry times one plus the trade's percentage move since entry, with the sign flipped for a short. At the exit candle this equals the booked return, so marking changes no final value. Each trade commits the full amount, unlevered and never partly sized. Trades are modelled as BTCUSDT USDT-M perpetual futures, a contract that tracks Bitcoin's price with no expiry date, at 1x (no borrowed money). This lets the strategy go short, betting on a fall, as well as long (12 of the 27 trades are shorts), which a spot account cannot do, and its cost model uses the Binance USDT-M Futures taker fee. Between trades the arm sits in cash earning nothing.</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weekly averaging arm contributes $10,000 ÷ 210 = $47.6190 per week ($10,000 ÷ 209 = $47.8469 in the 2018 window), each buying at that bar's close. Its value at any bar is units held times the current close. Returns exclude any contribution made in the same period,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Here V_k is the arm's value at the k-th daily close and C_k is the contribution since the previous daily close, which is zero on six days in seven. The lump-sum arm buys the full $10,000 at the first bar's opening price, not its close, and holds to the last bar's close.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One clock for Sharpe and drawdown. Every arm in Tables 10 to 13 is valued at each daily close (the last 4-hour candle of each UTC day), and daily returns are annualized with m = 365, since Bitcoin trades every day. One clock is needed because on 4-hour candles most strategy returns are zeros from idle cash, while the averaging arm changes only weekly, so ratios at each arm's own frequency are not comparable. Maximum drawdown uses the same daily values for every arm and blend, so the strategy's open trades count toward its drawdown. On this clock the averaging arm's worst fall, −36.02%, came in June 2022, after only 25 weekly contributions, when its small balance fell with Bitcoin. Sampled only at its weekly contribution candles, as in earlier drafts, its worst fall was −27.85%, in late 2025.</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One reconciliation applies wherever the strategy arm appears. Its Total return column is the simple sum of trade returns, the convention behind the +30.31% headline. Its Final capital column compounds the same returns in order from $10,000: +34.18%, which gives $13,417.77. The passive arms hold one position throughout, so they have no such gap.</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the net-of-cost Table 11, the strategy arm pays a 0.20% round-trip cost off each trade's return, and the passive arms pay a 0.10% one-sided markup on the buy price, since they buy and hold.</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Blended-sleeve model. Contributions are 1.0 relative unit per week across 210 weeks, not dollars, so Table 13 has no dollar column and should not be read against the $10,000 used elsewhere. In the 100% / 0% baseline the full unit buys Bitcoin at that bar's close. At a strategy share f of 0.10, 0.20, or 0.30, the rest buys Bitcoin and f goes into a strategy sleeve. The sleeve's cash enters each trade at its entry candle and is marked to market while the trade is open, as in the strategy arm. A contribution that arrives during a trade waits as cash until the trade exits, and the sleeve is never moved back into Bitcoin. In the cash control, the same share f is held as cash earning nothing. Portfolio value at any daily close is Bitcoin units times the close, plus the sleeve. Sharpe uses that value at every daily close, net of that day's contribution, annualized with m = 365; maximum drawdown uses the same daily values and includes principal. Table 13 is net of costs (0.20% off every strategy trade, a 0.10% markup on every Bitcoin purchase), with gross rows as a sensitivity check.</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13's net 100% / 0% row and Table 11's Weekly DCA row give the same Sharpe of 0.555 and the same maximum drawdown of −36.02%, and its gross row matches Table 10's 0.558 and −36.02%, because all of them use the same weekly rule. The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main approach is exploratory data analysis (Tukey, 1977): descriptive statistics, distribution summaries, and table comparisons, used to find patterns before drawing conclusions. It suits a finite, fully observed set of trade records with no missing values. The descriptive statistics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All statistics were computed in Python 3 with SciPy, a free open-source library used across published quantitative research (Virtanen et al., 2020). The standard tests are library code, not this study's own, which rules out a whole class of arithmetic errors.</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paper uses nine core statistical procedures (Table 2). Three are unmodified SciPy calls. Six are formulas written for this study, because no single library function computes them or because they follow this study's resampling design. Sharpe and maximum drawdown are descriptive measures, not tests, and carry no p-value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Stationary block bootstrap p-value and interval on average return (SOP 3, 1-hour test; SOP 1 after-cost check)</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4</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difference in average return between two trade sets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5</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Holm adjustment for nine simultaneous tests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6</w:t>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to 6.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Here the p-value is the chance of 19 or more wins out of 27 if each trade were a fair coin flip. Win rate alone is not edge: a strategy can win often and still lose money if its losses are larger, so average return per trade is reported beside it. The test is one-sided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Correlation. Pearson's r and Spearman's ρ were computed between holding time, in candles, and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Twenty-seven trades are too few, and too skewed by a few large winners, for a normal-theory interval. The bootstrap uses the data's own shape instead of assuming one (Efron &amp; Tibshirani, 1993). Drawing exactly n values with replacement follows Efron, so the spread reflects sampling uncertainty, not a changed sample size. The parameters are B = 10,000, n = 27, and a fixed seed of 42, so the figure is exactly reproducible. This is the plain percentile bootstrap, by choice, not the bias-corrected and accelerated version.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Drawdown is a percentage, not dollars, so arms with very different equity curves can be compared directly. Tracking the running peak, rather than comparing only the final value with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every arm in this paper uses daily returns, so m = 365:</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Sharpe ratio measures return per unit of variability, so a higher value means a smoother ride for the same return (Sharpe, 1994). It is computed here with the risk-free rate set to zero.</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w:t>
      </w:r>
      <w:r w:rsidDel="00000000" w:rsidR="00000000" w:rsidRPr="00000000">
        <w:rPr>
          <w:rFonts w:ascii="Times New Roman" w:cs="Times New Roman" w:eastAsia="Times New Roman" w:hAnsi="Times New Roman"/>
          <w:rtl w:val="0"/>
        </w:rPr>
        <w:t xml:space="preserve">Trades that follow each other can share the same market mood, so drawing them one at a time, as Formula 1 does, can understate the uncertainty. The stationary bootstrap (Politis &amp; Romano, 1994) instead copies runs of consecutive trades. Starting from a random trade, each next draw continues the current run with probability 1 − 1/L or jumps to a new random trade with probability 1/L, wrapping from the last trade back to the first, until n returns are drawn. L, the expected run length, is n^(1/3) rounded, which gives L = 3 for 31 trades. With B = 10,000 resamples and seed 20260808, the bootstrap one-sided p (percentile method) is the share of resample means at or below zero, and the 95% interval is the 2.5th and 97.5th percentiles of those means. It is used for the pre-registered 1-hour test and, with seed 42, for the after-cost check on the 27 four-hour trades in SOP 1, where L = 3 as well.</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average return. </w:t>
      </w:r>
      <w:r w:rsidDel="00000000" w:rsidR="00000000" w:rsidRPr="00000000">
        <w:rPr>
          <w:rFonts w:ascii="Times New Roman" w:cs="Times New Roman" w:eastAsia="Times New Roman" w:hAnsi="Times New Roman"/>
          <w:rtl w:val="0"/>
        </w:rPr>
        <w:t xml:space="preserve">Each gate setting trades a different set of trades from the full rule, so the two sets cannot be paired. For each of B = 2,000 repetitions, one resample is drawn with replacement from each set at its own size, and the difference between the two resample means is recorded. The 95% interval is the 2.5th and 97.5th percentiles of those differences. The two-sided p-value is twice the smaller of the shares of differences at or below zero and at or above zero, capped at 1. The two sets share many of the same trades, so treating them as independent overstates the noise in the difference. That makes the test conservative: it can miss a real difference but is unlikely to invent one.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t>
      </w:r>
      <w:r w:rsidDel="00000000" w:rsidR="00000000" w:rsidRPr="00000000">
        <w:rPr>
          <w:rFonts w:ascii="Times New Roman" w:cs="Times New Roman" w:eastAsia="Times New Roman" w:hAnsi="Times New Roman"/>
          <w:rtl w:val="0"/>
        </w:rPr>
        <w:t xml:space="preserve">Sort the m = 9 raw p-values from smallest to largest, p₍₁₎ ≤ … ≤ p₍ₘ₎. The adjusted value for the i-th is the largest of (m − j + 1) × p₍ⱼ₎ over every j up to i, capped at 1. The smallest p-value is multiplied by 9, the next by 8, and so on, and an adjusted value is never allowed to fall below the one before it (Holm, 1979). A result counts as significant only if its adjusted value is below 0.05.</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Additional analyses. The headline result was recomputed under six cost scenarios and rerun with the stop-loss checked against each candle's high and low instead of its close (Table 5). Every arm in the passive comparison was valued at daily closes, with the strategy's open trades marked to market (Section E), compared gross and net of fees, and rerun on data that came after the code was finished. The binomial test is rerun in full on each fee-adjusted trade set, not adjusted from the gross p-value. Both follow-up analyses use a single-trade simulator that runs the same exit rules from any entry candle; with all four gates on, it reproduces all 27 baseline trades exactly, and on 1-hour data it reproduces every trade the main engine makes.</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Reproducibility. A golden-master regression harness recomputes the indicators and the full simulation from raw candles and requires exact agreement with committed reference files: indicators to within 10⁻⁶ and all 27 trade records exactly. It runs after every code change. Truncation testing on the ATR(14), ATR(200), and fixed KDJ(9,3,3) series passed 180 of 180 sampled checks: each indicator recomputed on a shortened dataset gave the same values, as it must if no future data is used. The separate JavaScript dashboard cross-checks the indicators and entry conditions. All results are reported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section follows the three research questions. Each subsection opens with a direct answer, then gives the evidence; interpretation is left to the Conclusions. Appendix A traces every number to the function that produced it, and Appendix D shows how to recompute by hand every number that can be.</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Hypothesis H₁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Answer: yes before costs, no after them. The strategy won 70.37% of 27 trades for a +30.31% total return before costs, at p = 0.0261. A realistic 0.20% round-trip cost moves p to 0.1239, so H₁ is not supported once real trading costs are charged, which at this sample size is inconclusive. After costs the total return is still positive, +24.91%, but the bootstrap interval that allows for runs of related trades reaches below zero. Checking stops against candle highs and lows instead of closes moves p to 0.0610 even before costs.</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return, before costs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If every trade were a fair coin flip, 19 or more wins out of 27 would happen about 26 times in 1,000. Each trade is named by the candle index where it was entered: 335, 359, 673, 902, 1050, 1158, 1913, 2624, 2859, 3100, 3196, 3859, 3947, 4455, 5800, 5825, 6040, 6109, 6366, 6537, 6991, 7109, 7938, 7964, 8188, 8280, and 8596. Appendix C gives the full record of each trade.</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Bootstrap interval. A bootstrap of 10,000 resamples of size 27, with a fixed seed of 42, gives a point estimate of +30.31% total return, the observed sum of the 27 returns. (Appendix C prints each return to four decimals, so its rows add to +30.3064%; the unrounded sum is +30.3065%.) The 95% confidence interval is [+5.99%, +54.99%]: wide, but it excludes zero, and 99.25% of resampled totals were positive. For average return per trade the interval is [+0.22%, +2.04%]. The companion website recomputes the bootstrap in the browser at 2,000 resamples and gets [+7.48%, +54.46%]. It is separate TypeScript code with its own random number generator, and the gap was traced to the resample count alone. The two are kept separate because the website's independence is what makes the cross-check useful.</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After costs. The same bootstrap on the 27 returns after a 0.20% round-trip cost gives a 95% interval on total return of [+0.59%, +49.59%], with 2.27% of resampled totals at or below zero. That method draws trades one at a time, as if they were unrelated. Trades close in time can share the same market mood, so the after-cost returns were also resampled in runs of consecutive trades with the stationary block bootstrap (Formula 4, L = 3, seed 42). That gives [−1.29%, +49.96%] on total return and [−0.05%, +1.85%] on average return per trade, with 3.20% of totals at or below zero, so the interval includes zero. Before costs the same block bootstrap gives [+4.11%, +55.36%], which excludes it. The return is therefore positive before costs, but after a 0.20% round trip it cannot be separated from zero once related trades are allowed for.</w:t>
      </w:r>
      <w:r>
        <w:rPr>
          <w:rFonts w:ascii="Times New Roman" w:cs="Times New Roman" w:eastAsia="Times New Roman" w:hAnsi="Times New Roman"/>
          <w:rtl w:val="0"/>
        </w:rPr>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Cost sensitivity. Six scenarios were run: gross, fee-only, and four from 0.14% to 0.40% round trip. The confirmed Binance USDT-M Futures standard taker fee is 0.05% per side, or 0.10% per round trip, and slippage was modelled separately at 0.05% per side, which may be optimistic for stop-loss exits in fast candles.</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flip, shown in Figure 6, comes from exactly two trades, 7938 and 8188, worth +0.12% and +0.13% before costs, turning from winners into losers. The smallest winner, trade 7938, earned +0.1196%, so the win rate stays significant only while the total round-trip cost is below about 0.12%.</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Funding. Perpetual futures also charge or pay a funding rate every eight hours, which the cost scenarios leave out. From Binance's published BTCUSDT funding history, the 27 trades were open across 114 funding settlements. Long trades paid 0.175 percentage points and short trades received 0.287, a net credit of 0.112 points. With the 0.20% round-trip cost and funding together, total return is +25.02% instead of +24.91%, wins stay at 17 of 27, and p stays at 0.1239. No single trade's funding exceeded 0.06%, so funding changes no result in this paper.</w:t>
      </w:r>
      <w:r>
        <w:rPr>
          <w:rFonts w:ascii="Times New Roman" w:cs="Times New Roman" w:eastAsia="Times New Roman" w:hAnsi="Times New Roman"/>
          <w:rtl w:val="0"/>
        </w:rPr>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Stop-loss check. The engine checks the stop-loss only at each candle's close (Section D). Table 5 reruns the same 27 entries with the stop checked against each candle's high and low, filled at the stop price, or at the candle's open if price gapped through it. Every other exit rule is unchanged, so only the stop can change and the trade set stays at 27. Six trades change. Trade 902 turns from a +3.22% winner into a −1.61% loser, because price touched its stop inside a candle before the move that closed it as a winner. Trades 335 and 3196 lose more (−2.31% and −1.82% instead of −0.66% and −0.78%). Trade 2624 loses less (−2.68% at its stop instead of −4.65% at the close), and trades 3947 and 6109 change by less than 0.1 points. With high-low stops the strategy wins 18 of 27 before costs, +24.85% in total, at p = 0.0610, so the win rate is no longer significant even before costs. After the 0.20% cost it wins 16, +19.45%, at p = 0.2210. The close-based stop therefore flatters the reported win rate.</w:t>
      </w:r>
      <w:r>
        <w:rPr>
          <w:rFonts w:ascii="Times New Roman" w:cs="Times New Roman" w:eastAsia="Times New Roman" w:hAnsi="Times New Roman"/>
          <w:rtl w:val="0"/>
        </w:rPr>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Stop-Loss Check at Candle Close Versus Candle High and Low</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checked at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(as reported)</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(as reported)</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and low</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66.67%</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+24.85%</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and low</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59.26%</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+19.45%</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0.2210</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Only the stop-loss check changes. Entries and every other exit rule are as in the baseline, so the trade set stays at the same 27 entries. A stop touched inside a candle is filled at the stop price, or at the candle's open if price opened beyond the stop. Prices are Binance spot candles, as everywhere in this paper. Each row re-runs the one-sided binomial test against a 50% win rate.</w:t>
      </w:r>
      <w:r w:rsidDel="00000000" w:rsidR="00000000" w:rsidRPr="00000000">
        <w:rPr>
          <w:rtl w:val="0"/>
        </w:rPr>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Regime dependence. Trades were tagged by market condition at entry using two independent methods. The first is a calendar split. The second measures how far price sat below its previous all-time high, starting from Bitcoin's pre-window high of $69,000 on 2021-11-10: bear at 40% or more below,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two methods agree on only 13 of the 27 trades, because they measure different things: much of 2023 sat 57% to 64% below the all-time high even though price that year moved sideways rather than falling. Both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Holding time and return. Across the 27 trades, Pearson's r = +0.4907 (t = 2.82, df = 25, p ≈ 0.0094) and Spearman's ρ = +0.4797 (p ≈ 0.0113): trades held longer tended to end larger. Pearson's r is significant at the 1% level, Spearman's ρ at the 5% level only. The link largely reflects the exit design, since stops cut losers early while winners run, so it is descriptive, not evidence of a separate effect.</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Forward test. A forward out-of-sample test used 4-hour data from 2026-01-01 to 2026-07-31, after every change to the strategy code, run through the same frozen pipeline after first confirming that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is reported as it came out: small and unfavourable. If the true win rate were the 70.37% seen in 2022 to 2026, one win or fewer in four trades would still happen about 8% of the time (p = 0.081), so four trades cannot show that the edge has gone either. A separate eight-year backfill check ran the same pipeline on data extended back to 2018-01-01, to see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combined row should never be cited alone, because about half of it comes from the period the rules were built on. The strategy does worse on its own build data, 60.00% at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 and Hypothesis H₂</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Answer: weekly buying won on final value by a wide margin, and the strategy won on risk-adjusted shape while holding a position only 2.63% of the time. Both are true, and neither settles the comparison alone. Putting part of a weekly plan into the strategy, rather than replacing the plan, improved its risk-adjusted profile after costs at every share tested and beat holding the same share as cash on both measures, which supports H₂ (Table 13). The margin over cash is small.</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1.1440</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0.5581</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 Sharpe and maximum drawdown use each arm's value at every daily close, with the strategy's open trades marked to market; Sharpe is annualized with m = 365 (Section E). The weekly arm's value is measured at its last contribution candle, 2025-12-29. Time in market for the strategy is 2.6349% of candles.</w:t>
      </w:r>
      <w:r w:rsidDel="00000000" w:rsidR="00000000" w:rsidRPr="00000000">
        <w:rPr>
          <w:rFonts w:ascii="Times New Roman" w:cs="Times New Roman" w:eastAsia="Times New Roman" w:hAnsi="Times New Roman"/>
          <w:sz w:val="20"/>
          <w:szCs w:val="20"/>
          <w:rtl w:val="0"/>
        </w:rPr>
        <w:t xml:space="preserve">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029"/>
            <wp:effectExtent b="0" l="0" r="0" t="0"/>
            <wp:docPr id="7" name="image2.png"/>
            <a:graphic>
              <a:graphicData uri="http://schemas.openxmlformats.org/drawingml/2006/picture">
                <pic:pic>
                  <pic:nvPicPr>
                    <pic:cNvPr id="0" name="fig07_equity_mtm.png"/>
                    <pic:cNvPicPr preferRelativeResize="0"/>
                  </pic:nvPicPr>
                  <pic:blipFill>
                    <a:blip r:embed="rId24"/>
                    <a:srcRect b="0" l="0" r="0" t="0"/>
                    <a:stretch>
                      <a:fillRect/>
                    </a:stretch>
                  </pic:blipFill>
                  <pic:spPr>
                    <a:xfrm>
                      <a:off x="0" y="0"/>
                      <a:ext cx="5943600" cy="3350029"/>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0.9456</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0.5552</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10,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Weekly buying beat the strategy on final value: $22,312.94 against $13,417.77 gross, and $22,290.65 against $12,719.01 after costs (Figure 7). On the same daily clock, the strategy's gross Sharpe of 1.1440 exceeds buy-and-hold's 0.5534 and weekly buying's 0.5581,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10,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That window is where the rules were built, so it is shown for comparison only. Bitcoin's 2018 to 2022 window held a much bigger fall-and-recovery cycle than 2022 to 2026, which favours weekly buying by lowering its average purchase price.</w:t>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Blended plan. After costs, both risk-adjusted measures improve at every step as the strategy share rises from 0% to 30%, and at every share the strategy sleeve beats the cash sleeve on both Sharpe and drawdown, which is the decision rule set for H₂. The gross rows show the same pattern.</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Plan: Strategy Sleeve Versus Cash Sleeve</w:t>
      </w:r>
      <w:r w:rsidDel="00000000" w:rsidR="00000000" w:rsidRPr="00000000">
        <w:rPr>
          <w:rtl w:val="0"/>
        </w:rPr>
      </w:r>
    </w:p>
    <w:tbl>
      <w:tblPr>
        <w:tblStyle w:val="Table12"/>
        <w:tblW w:w="9360.0" w:type="dxa"/>
        <w:jc w:val="left"/>
        <w:tblInd w:w="-160.0" w:type="dxa"/>
        <w:tblLayout w:type="fixed"/>
        <w:tblLook w:val="0000"/>
      </w:tblPr>
      <w:tblGrid>
        <w:tblGridChange w:id="0">
          <w:tblGrid>
            <w:gridCol w:w="3120"/>
            <w:gridCol w:w="3120"/>
            <w:gridCol w:w="3120"/>
          </w:tblGrid>
        </w:tblGridChange>
        <w:gridCol w:w="2620"/>
        <w:gridCol w:w="1685"/>
        <w:gridCol w:w="1685"/>
        <w:gridCol w:w="1685"/>
        <w:gridCol w:w="1685"/>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strategy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cash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strategy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cash sleeve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 net</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 net</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0.576</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 net</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0.598</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 net</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0.621</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0.606</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0.632</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−27.34%</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rows charge 0.20% on every strategy trade and a 0.10% markup on every Bitcoin purchase; gross rows charge nothing and are a sensitivity check. The cash sleeve holds the same share as cash earning nothing. Every value is taken at daily closes, with the strategy sleeve's open trades marked to market, over 210 weekly contributions in 2022 to 2026, under the construction in Section E. Maximum drawdown includes principal. The Sharpe ratio assumes a risk-free rate of zero. The table measures how smooth the plan was, not how much money it ended with.</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Strategy Sleeve Versus Cash Sleeve Across Increasing Allocations, Net of Costs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9544"/>
            <wp:effectExtent b="0" l="0" r="0" t="0"/>
            <wp:docPr id="9" name="image8.png"/>
            <a:graphic>
              <a:graphicData uri="http://schemas.openxmlformats.org/drawingml/2006/picture">
                <pic:pic>
                  <pic:nvPicPr>
                    <pic:cNvPr id="0" name="fig08_blend_cash.png"/>
                    <pic:cNvPicPr preferRelativeResize="0"/>
                  </pic:nvPicPr>
                  <pic:blipFill>
                    <a:blip r:embed="rId25"/>
                    <a:srcRect b="0" l="0" r="0" t="0"/>
                    <a:stretch>
                      <a:fillRect/>
                    </a:stretch>
                  </pic:blipFill>
                  <pic:spPr>
                    <a:xfrm>
                      <a:off x="0" y="0"/>
                      <a:ext cx="5943600" cy="3209544"/>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After costs, Sharpe rises from 0.555 to 0.621 and maximum drawdown shallows from −36.02% to −26.43% as the strategy share rises to 30% (Figure 8). Holding the same 30% as cash gives 0.585 and −27.34%, so the strategy sleeve beats cash on both, by 0.036 in Sharpe and 0.90 points in drawdown; at 10% the drawdown margin is only 0.18 points. Most of the drawdown improvement comes from holding part of the plan out of Bitcoin at all. The conclusion has the limits stated with the hypothesis: it rests on one price path, carries no p-value, and shows what a blend would have done over this window, not what it will do over another.</w:t>
      </w:r>
      <w:r w:rsidDel="00000000" w:rsidR="00000000" w:rsidRPr="00000000">
        <w:rPr>
          <w:rtl w:val="0"/>
        </w:rPr>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4ablation" w:id="9001"/>
      <w:bookmarkEnd w:id="9001"/>
      <w:r w:rsidDel="00000000" w:rsidR="00000000" w:rsidRPr="00000000">
        <w:rPr>
          <w:rFonts w:ascii="Times New Roman" w:cs="Times New Roman" w:eastAsia="Times New Roman" w:hAnsi="Times New Roman"/>
          <w:color w:val="000000"/>
          <w:rtl w:val="0"/>
        </w:rPr>
        <w:t xml:space="preserve">Answers to SOP 3</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13, under Statement of the Problem.</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Answer: the gate results point the same way but are not significant. Switching off any one gate lowered average return per trade in both windows, by 0.31 to 0.89 percentage points in 2022 to 2026, but no difference survived the Holm correction, and the 2018 to 2022 agreement is in-sample. Running the same rules on 1-hour candles (after Table 15) did not raise trade count without losing money per trade either.</w:t>
      </w: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entry rule has four indicator gates on top of the Order Block touch: MACD histogram, KDJ, K-acceleration, and ATR regime (Figure 4). The Order Block touch, minimum stop distance, and minimum reward-to-risk stay on in every setting; only gates are switched off, and no threshold changes. Four settings remove one gate each, four keep one gate only, and a ninth adds an Order Block quality filter of at least 1 to the full rule. The ninth is not an indicator, but it was part of the same pre-registered family of nine, so it stays in the Holm correction. With all four gates on, the comparison code reproduces the 27 baseline trades exactly.</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14</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2022 to 2026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58.90%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+0.236%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+2.65%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−0.886 [−1.97, +0.16]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56.60%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+0.411%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+11.18%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−0.712 [−1.80, +0.31]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0.664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60.87%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+18.42%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−0.522 [−1.77, +0.71]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0.427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68.57%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+0.813%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+21.45%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−0.310 [−1.49, +0.84]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0.582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49.12%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−1.160 [−2.15, −0.10]</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50.59%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−0.099%</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−1.221 [−2.27, −0.24]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0.135</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56.70%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+31.38%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−0.782 [−1.75,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−1.044 [−1.96,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+23.31%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+0.010 [−1.31, +1.39]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0.975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Average return per trade is gross of costs; total return subtracts 0.20% from every trade. The change column is each setting's average minus the baseline's +1.122%, with a 95% interval from Formula 5 (B = 2,000). p (Holm) adjusts the nine p-values together using Formula 6. Each setting trades a different set of trades, one position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Removing MACD costs the most per trade, 0.886 points, and removing the ATR-regime gate the least, 0.310 points. Keeping one gate only costs 0.782 to 1.221 points. Three single-gate settings (MACD only, KDJ only, and ATR regime only) have intervals that exclude zero, with raw p-values of 0.032, 0.015, and 0.023, but after the Holm correction these become 0.224, 0.135, and 0.184, so none can be separated from chance once nine tests are counted. Adding the Order Block quality filter changes almost nothing: +0.010 points on 25 trades.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Two settings stand out descriptively. K-acceleration alone took 224 trades and returned +31.38% after costs, more than the full rule's +24.91%, but earned only +0.140% per trade against +0.922%, with a maximum drawdown of −45.60% against −7.78% (both measured per candle on realized exits, as in the gate comparison, not on Table 11's daily marked-to-market basis). On the 2018 to 2022 window the same setting lost −118.23% after costs over 250 trades, so the result reversed. Removing the ATR-regime gate gave 35 trades instead of 27, a 68.57% win rate, and +21.45% after costs: the closest to the full rule among gate removals by average return per trade, and also the closest on 2018 to 2022, at 36 trades and +17.66% against the baseline's +16.82%. Neither is a finding; each is a candidate for a future pre-registered test on new data.</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2018 to 2022 Formulation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80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−1.197 [−2.66, +0.26]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54.00%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+16.62%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 [−1.88, +1.29]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0.678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+0.258%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+2.92%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−0.615 [−2.25, +0.94]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0.451</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+17.66%</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−0.182 [−1.78, +1.42]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48.67%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−1.094 [−2.47, +0.25]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49.48%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−43.09%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−0.897 [−2.16, +0.47]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50.80%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−118.23%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−1.146 [−2.40, +0.18]</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0.837</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−77.93%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−0.872 [−2.14, +0.43]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59.09%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+0.968%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+0.095 [−1.62, +1.86]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14. The rules were formulated on this window, so it is not out-of-sample for them. The baseline here is the 25 formulation-window trades of Table 9.</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Change in Average Return per Trade When Indicator Gates Are Switched Off</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25832"/>
            <wp:effectExtent b="0" l="0" r="0" t="0"/>
            <wp:docPr id="5001" name="Figure 5001"/>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25832"/>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direction agrees across the two windows (Figure 9): every removal lowers average return per trade in both. The 2018 to 2022 agreement is in-sample, since the rules were set by eye on that window, so it is expected rather than confirming. The sizes do not agree closely, and no 2018 to 2022 interval excludes zero. The nine settings were also run once on January 1 to August 7, 2026, covering the forward test up to the start of the 1-hour holdout, where the full rule made four trades. Every interval there spans zero and every Holm p-value is 1.000, so that run adds nothing either way.</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1-hour candles: no. On 1-hour candles the unchanged rules made 31 trades over 2022 to 2026, only four more than on 4-hour candles, and lost an average of 0.179% per trade after costs. The pre-registered one-sided p is 0.696, so the test finds no positive return. The time-scaled version made 14 trades and also lost money per trade.</w:t>
      </w:r>
      <w:r w:rsidDel="00000000" w:rsidR="00000000" w:rsidRPr="00000000">
        <w:rPr>
          <w:rFonts w:ascii="Times New Roman" w:cs="Times New Roman" w:eastAsia="Times New Roman" w:hAnsi="Times New Roman"/>
          <w:rtl w:val="0"/>
        </w:rPr>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Same Rules on 4-Hour and 1-Hour Candles, 2022 to 2026</w:t>
      </w:r>
    </w:p>
    <w:tbl>
      <w:tblPr>
        <w:tblStyle w:val="Table4"/>
        <w:tblW w:w="9560" w:type="dxa"/>
        <w:jc w:val="left"/>
        <w:tblInd w:w="-160.0" w:type="dxa"/>
        <w:tblLayout w:type="fixed"/>
        <w:tblLook w:val="0000"/>
      </w:tblPr>
      <w:tblGrid>
        <w:gridCol w:w="1250"/>
        <w:gridCol w:w="760"/>
        <w:gridCol w:w="800"/>
        <w:gridCol w:w="800"/>
        <w:gridCol w:w="900"/>
        <w:gridCol w:w="900"/>
        <w:gridCol w:w="900"/>
        <w:gridCol w:w="1350"/>
        <w:gridCol w:w="850"/>
        <w:gridCol w:w="1050"/>
      </w:tblGrid>
      <w:tr>
        <w:trPr>
          <w:cantSplit w:val="0"/>
          <w:tblHeader w:val="1"/>
        </w:trPr>
        <w:tc>
          <w:tcPr>
            <w:tcW w:w="12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Version</w:t>
            </w:r>
          </w:p>
        </w:tc>
        <w:tc>
          <w:tcPr>
            <w:tcW w:w="7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 per year</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gross</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net</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net</w:t>
            </w:r>
          </w:p>
        </w:tc>
        <w:tc>
          <w:tcPr>
            <w:tcW w:w="13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95% CI, avg net</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avg net &gt; 0</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Binomial p</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4-hour (paper)</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[+0.022, +1.837]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0.0261</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literal (primary)</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−0.179%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[−0.834, +0.566]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0.8595</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time-scaled ×4</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14</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3.50</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57.14%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−3.86%</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[−1.174, +0.647]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0.3953</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figures subtract a 0.20% round-trip cost from every trade. For the 1-hour rows, the interval and p-value come from Formula 4 (B = 10,000, seed 20260808); the literal row's p is the pre-registered 1-hour test, and the time-scaled row's is descriptive. The 4-hour interval is the paper's Formula 1 interval on average return shifted down by the constant 0.20% cost; resampling the same net returns in runs with Formula 4 (seed 42) gives [−0.048, +1.850] instead. No average-return p-value was pre-registered for it. Binomial p is the one-sided win-rate test of Table 3, counted on gross wins in every row, as in Table 3.</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and Net Return per Trade on 4-Hour and 1-Hour Candles</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7603"/>
            <wp:effectExtent b="0" l="0" r="0" t="0"/>
            <wp:docPr id="5002" name="Figure 5002"/>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4760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1-hour literal version earned 1.101 points less per trade than the 4-hour rules (95% interval [−2.21, −0.002], two-sided p = 0.049; Figure 10). This comparison is descriptive and not corrected for the one beside it: −1.198 points for the time-scaled version, p = 0.096. The literal version's win rate, 41.94%, is below a coin flip (binomial p = 0.8595).</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gates do not help on 1-hour candles. Of 1,570 Order Block touches with a valid stop and reward-to-risk over 2022 to 2026, the four gates let through 49 (3.12%). Picking candidates at random at the same rate, 1,000 times over, matched or beat the gates' average return per trade in 63.3% of runs, and taking every candidate gave 500 trades and −62.71% after costs. On 4-hour candles, removing any one gate lowered return per trade (Tables 14 and 15), though not significantly. The random-selection check was run only on 1-hour candles, so there is no evidence either way on whether the 4-hour gates beat random selection.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result does not depend on one cost assumption or one stretch of time. At round-trip costs of 0.10%, 0.20%, and 0.30%, the literal version's total is −2.45%, −5.55%, and −8.65%. Across 50 random 12-month windows inside 2022 to 2026, its net total was positive in 8%, and the time-scaled version's in 44%, mostly because that version often made no trade. Both beat buy-and-hold in 16% of windows. The windows overlap heavily, so these shares describe stability, not probabilities.</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17</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1-Hour Results Outside the Main Window, Including the One-Time Holdout</w:t>
      </w:r>
    </w:p>
    <w:tbl>
      <w:tblPr>
        <w:tblStyle w:val="Table4"/>
        <w:tblW w:w="9360" w:type="dxa"/>
        <w:jc w:val="left"/>
        <w:tblInd w:w="-160.0" w:type="dxa"/>
        <w:tblLayout w:type="fixed"/>
        <w:tblLook w:val="0000"/>
      </w:tblPr>
      <w:tblGrid>
        <w:gridCol w:w="2900"/>
        <w:gridCol w:w="1300"/>
        <w:gridCol w:w="1000"/>
        <w:gridCol w:w="1200"/>
        <w:gridCol w:w="1460"/>
        <w:gridCol w:w="1500"/>
      </w:tblGrid>
      <w:tr>
        <w:trPr>
          <w:cantSplit w:val="0"/>
          <w:tblHeader w:val="1"/>
        </w:trPr>
        <w:tc>
          <w:tcPr>
            <w:tcW w:w="2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Window</w:t>
            </w:r>
          </w:p>
        </w:tc>
        <w:tc>
          <w:tcPr>
            <w:tcW w:w="13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Version</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Trades</w:t>
            </w:r>
          </w:p>
        </w:tc>
        <w:tc>
          <w:tcPr>
            <w:tcW w:w="12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 rate</w:t>
            </w:r>
          </w:p>
        </w:tc>
        <w:tc>
          <w:tcPr>
            <w:tcW w:w="14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Avg per trade, net</w:t>
            </w:r>
          </w:p>
        </w:tc>
        <w:tc>
          <w:tcPr>
            <w:tcW w:w="15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Total net</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58</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39.66%</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−0.580%</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−33.65%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29</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55.17%</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−0.302%</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−8.77%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1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4</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−0.967%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−3.87%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1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60.00%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+0.141%</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+0.71%</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100.00%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+0.247%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Descriptive only. The 2018 to 2022 window is where the rules were formulated. January to August 7, 2026 had already been seen once on 4-hour candles. The holdout ran once, after the main results were committed; Bitcoin rose 23.62% over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holdout produced one literal trade, a long that gained 0.25% after costs, and no time-scaled trade. One trade cannot confirm or contradict anything; it is reported because it was pre-registered. For both versions, the 2018 to 2022 window, where the rules came from, was worse than the main window.</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Figure 11 places every 2022 to 2026 gate setting from Table 14 and both 1-hour versions from Table 16 on one chart: trades per year, on a logarithmic axis, against average return per trade after the 0.20% cost. The time-scaled ×4 version is the 1-hour version with every window stretched four times. The only 4-hour setting that trades less often than the baseline, the Order Block quality filter, earns about the same per trade. Every 4-hour setting that trades more often earns less per trade, and five average below +0.15% per trade after costs. The 1-hour literal version trades slightly more often than the baseline and loses money per trade; the time-scaled version trades less often and also loses money. The chart is descriptive: no gate difference survived the Holm correction (Table 14), and the 1-hour points use a different candle interval.</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Against Average Net Return per Trade, 2022 to 2026</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40480"/>
            <wp:effectExtent b="0" l="0" r="0" t="0"/>
            <wp:docPr id="5011" name="Figure 5011"/>
            <a:graphic>
              <a:graphicData uri="http://schemas.openxmlformats.org/drawingml/2006/picture">
                <pic:pic>
                  <pic:nvPicPr>
                    <pic:cNvPr id="0" name="fig11_tradeoff.png"/>
                    <pic:cNvPicPr preferRelativeResize="0"/>
                  </pic:nvPicPr>
                  <pic:blipFill>
                    <a:blip r:embed="rId23"/>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From January 2022 to January 2026 the strategy made 27 trades. It won 70.37% of them and returned +30.31% before costs. Weekly buying still ended with more money from the same capital: $22,312.94 against $13,417.77. These rules are best used as a small part of a weekly buying plan, not in place of one. On this window, the simple habit beat the complicated system.</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Returns are positive before costs and uncertain after them. Before costs, the 95% bootstrap interval on total return excludes zero, and 99.25% of 10,000 resamples were positive. After a 0.20% round-trip cost, resampling trades one at a time gives [+0.59%, +49.59%], which excludes zero, but resampling runs of related trades gives [−1.29%, +49.96%], which does not. The win rate is weaker still. It is significant with the exchange fee alone (p = 0.0261), but not once slippage is added (p = 0.1239), and not when stops are checked against candle highs and lows, even before costs (p = 0.0610).</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Profit comes from a few trades. Three trades make up 51.7% of the total return, and longer trades earned more, so the big winners were the ones the exit rules let run. The strategy won most often in rising markets (85.71% under both regime methods) and did worse in sideways or falling markets under at least one method.</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Against weekly buying, the results point in opposite directions. From equal capital, weekly buying ended with about 1.66 times the strategy's money before costs and 1.75 times after. Valued at daily closes, though, the strategy had the better risk-adjusted return, while invested only 2.63% of the time against 100%. Combining the two works best. After costs, putting 10% to 30% of a weekly plan into the strategy improved both Sharpe and drawdown at every share, and beat holding the same share as cash. The gain over cash is small. At 30%, cash alone cuts the worst drop from −36.02% to −27.34%, and the strategy cuts it only 0.90 points more, to −26.43%. On Sharpe, cash moves the plan from 0.555 to 0.585 and the strategy moves it to 0.621.</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rules did worse on the 2018 to 2022 charts they were built from (Table 9), which suggests the test window really was kept separate. This should not be overstated: choosing rules by eye is weaker than a formal held-out split. The four-trade forward test is the only fully unseen result, and it lost money.</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follow-up analyses help explain why the strategy trades so rarely. Switching off any one gate lowered average return per trade in both windows, but none of the nine differences survived the Holm correction. The only loosened setting that raised total return, K-acceleration alone, had nearly six times the drawdown and failed on the 2018 to 2022 window. The 1-hour version failed its pre-registered test: 31 trades, a loss per trade after costs (one-sided p = 0.696), and gates that chose trades no better than random. The rules seem tied to the 4-hour scale they were built on. These results fit a trade-off between trading often and earning per trade (Figure 11) but do not prove one. With only 27 trades, two marginal trades are enough to move p from 0.0261 to 0.1239.</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 Trades are modelled as USDT-M perpetual futures at 1x, unlevered; leverage and margin are not modelled. Funding was estimated from Binance's published rate history (SOP 1), not taken from a live account. Every exit, including the stop-loss, is checked on candle closes, not on price movement inside a candle. That biases the 27 trades: a stop that price touched and then left never fires, and a close far past the stop books a larger loss than a real stop order would. Checking the stop against candle highs and lows (Table 5) lowers the wins from 19 to 18 and moves p to 0.0610 before costs. A leverage model would inherit the same limit. All prices are Binance spot candles standing in for the perpetual contract, which can differ from spot by the basis.</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The sample is small, 27 trades, and three of them make up 51.7% of the total return, so conclusions in either direction are provisional. At a one-sided 5% level the binomial test needs 19 wins out of 27, and its power to detect a true win rate of 60%, 65%, or 70% is only 0.18, 0.36, or 0.58. A non-significant result at this size is therefore inconclusive, not evidence that no edge exists.</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4. The comparison against passive options is descriptive, not inferential. Sharpe and maximum drawdown are each computed once, on one price path. Formal tests for a difference between Sharpe ratios exist (Ledoit &amp; Wolf, 2008) but were not run, so no confidence interval or p-value attaches to differences between arms or between the strategy and cash sleeves. A different four-year window could reverse the ordering, as Table 12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5. Two choices are disclosed as assumptions, not defended as the only correct ones: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6. The strategy trades rarely, about 0.56 trades per month, so forward evidence builds up slowly. Neither attempt in SOP 3 to trade more often kept the return per trade: every gate removal lowered the average, though no difference survived the Holm correction, and the 1-hour version lost money per trade after costs.</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7. Structural criteria can read forward unnoticed. Two Order Block criteria originally bounded their search loops by the length of the whole dataset instead of each block's own confirmation candle, so they could read one or two candles not yet available: a real data-leakage bug. A no-lookahead audit found it; the fix bounds both loops at the confirmation candle, with runtime assertions left at those points. It does not change the 27-trade baseline, which applies no quality-score filter. Any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8. A reported number can drift from the code that produced it. Two correlation p-values were once reported as below 0.001 when the correct values are about 0.0094 and 0.0113, an overstatement of roughly ten times. Both are corrected here, and Appendix A now traces every number to the function that produced it.</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9. Two correct implementations can disagree. The Python bootstrap uses 10,000 resamples and the companion dashboard 2,000, giving different but individually correct intervals. The gap was traced to the resample count alone, by rewriting the dashboard's random number generator in Python and reproducing its interval exactly. Independent reimplementations must be reconciled explicitly, not averaged or dropped.</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10. The blended model in Table 13 was corrected in this version. Earlier drafts let a weekly contribution that arrived during an open trade share in that trade's return, although the money was not in the trade when it opened. Contributions now wait as cash until the trade exits. This affects 4 of the 210 contributions and changes the final value of the 70% / 30% gross blend by −0.016 units, from 406.34 to 406.33.</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11. The strategy design, code, and statistics were not reviewed by a licensed financial professional or a quantitative-trading practitioner. Verification was internal only, through the regression harness (Appendix A) and the hand recomputation of every headline number (Appendix 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12. The SOP 3 gate comparison switches gates one at a time, so it can miss effects that appear only when two gates act together. The keep-one-gate settings show part of that, but not every combination was tested. Its p-values are exploratory even after the Holm correction, because the question was asked after the headline result was known.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13. The time-scaled 1-hour version stretches windows only. Pattern shapes such as the two-candle MACD rise and the three-candle K-acceleration stay in candles, so it is only partly the same strategy in clock time. The 1-hour main window is also the same 2022 to 2026 market the 4-hour rules were reported on, and the only fully unseen 1-hour data, the holdout, produced one trade.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14. A machine-learning trade filter was also tested, as the primary test of the same pre-registration as the SOP 3 gate comparison. It did not beat a model trained on shuffled labels (one-sided p = 0.378) and is not a finding of this paper; its full write-up is kept with the code so the test is on record.</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two timeframes: 4-hour candles for every primary result, and 1-hour candles for the pre-registered test in SOP 3. Slower timeframes, and faster ones below 1 hour,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The 1-hour test in SOP 3 adds a one-time holdout from 2026-08-08 to 2026-10-26.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All trades are modelled as USDT-M perpetual futures at 1x, unlevered. No leverage or margin is modelled, and no spot-only version was tested; a spot account could not take the 12 short trades.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 Binance spot BTCUSDT candles stand in for the perpetual futures contract the strategy is modelled as trading.</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Before costs, a bootstrap of 10,000 resamples put the 95% interval on total return at [+5.99%, +54.99%], which excludes zero. After a 0.20% round-trip cost it is [+0.59%, +49.59%] when trades are resampled one at a time and [−1.29%, +49.96%] when runs of related trades are resampled, so the return is positive before costs but cannot be separated from zero after them. The win rate's significance does not survive either: the realistic 0.20% cost moves p from 0.0261 to 0.1239, through exactly two marginal trades, and checking stops against candle highs and lows moves it to 0.0610 even before costs. H₁ is therefore not supported once real costs are charged, which at 27 trades is inconclusive rather than proof that no edge exists.</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On the second question, weekly buying beat the strategy on final value from equal capital, while the strategy had the better risk-adjusted shape at 2.63% time in market against 100%. Inside a weekly buying plan, after costs, both risk-adjusted measures improved at every strategy share from 10% to 30%, and at every share the strategy sleeve beat the same share held as cash on both, so H₂ is supported, descriptively and with no p-value. The margin over cash is small, especially for drawdown. The forward test, run after every change to the code, returned −3.45% over four trades: too few to settle anything, but the only evidence unseen in both senses.</w:t>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third question asked, through two pre-registered follow-up analyses, whether the strategy could trade more often. Switching off any one gate lowered average return per trade in both windows, with no difference surviving the Holm correction. On 1-hour candles the unchanged rules made 31 trades and lost 0.179% per trade after costs (one-sided p = 0.696), and their gates picked trades no better than chance. These results fit a trade-off between trade frequency and return per trade without establishing one, and the small sample of 27 trades is the main reason the win-rate result is fragile.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This is a research report, not investment advice, and cryptocurrency carries a high risk of loss. In the Philippines, crypto platforms are regulated by the Bangko Sentral ng Pilipinas and the Securities and Exchange Commission. The study tested whether fixed, published rules beat simple saving and found that they did not, the opposite of a get-rich claim.</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short, this rule set's trades were profitable before costs on this window; after a 0.20% round trip, their return cannot be separated from zero once related trades are allowed for; the win rate's significance depends on costs and on how stops are checked; and wins came more often in rising markets. The study does not show that the strategy will stay profitable, and the only forward evidence so far is unfavourable. Future work should keep collecting forward trades at the strategy's natural pace, since only forward evidence can show whether the edge lasts, and should test the same rules on other instruments. Because the 1-hour test failed, any further timeframe should be pre-registered and tested on candles after 2026-10-26, since no unseen data before that date remains.</w:t>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pPr>
        <w:spacing w:after="0" w:line="480" w:lineRule="auto"/>
        <w:ind w:firstLine="720"/>
        <w:rPr>
          <w:rFonts w:ascii="Times New Roman" w:cs="Times New Roman" w:eastAsia="Times New Roman" w:hAnsi="Times New Roman"/>
        </w:rPr>
      </w:pPr>
      <w:r>
        <w:rPr>
          <w:rFonts w:ascii="Times New Roman" w:cs="Times New Roman" w:eastAsia="Times New Roman" w:hAnsi="Times New Roman"/>
          <w:rtl w:val="0"/>
        </w:rPr>
        <w:t xml:space="preserve">Bangko Sentral ng Pilipinas. (2021). Guidelines for virtual asset service providers (Circular No. 1108, Series of 2021). https://www.bsp.gov.ph/Regulations/Issuances/2021/1108.pdf</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rtl w:val="0"/>
        </w:rPr>
        <w:t xml:space="preserve">Scandinavian Journal of Statistics, 6</w:t>
      </w:r>
      <w:r w:rsidDel="00000000" w:rsidR="00000000" w:rsidRPr="00000000">
        <w:rPr>
          <w:rFonts w:ascii="Times New Roman" w:cs="Times New Roman" w:eastAsia="Times New Roman" w:hAnsi="Times New Roman"/>
          <w:rtl w:val="0"/>
        </w:rPr>
        <w:t xml:space="preserve">(2), 65–70. https://www.jstor.org/stable/4615733</w:t>
      </w:r>
    </w:p>
    <w:p>
      <w:pPr>
        <w:spacing w:after="0" w:line="480" w:lineRule="auto"/>
        <w:ind w:firstLine="720"/>
        <w:rPr>
          <w:rFonts w:ascii="Times New Roman" w:cs="Times New Roman" w:eastAsia="Times New Roman" w:hAnsi="Times New Roman"/>
        </w:rPr>
      </w:pPr>
      <w:r>
        <w:rPr>
          <w:rFonts w:ascii="Times New Roman" w:cs="Times New Roman" w:eastAsia="Times New Roman" w:hAnsi="Times New Roman"/>
          <w:rtl w:val="0"/>
        </w:rPr>
        <w:t xml:space="preserve">Ledoit, O., &amp; Wolf, M. (2008). Robust performance hypothesis testing with the Sharpe ratio. Journal of Empirical Finance, 15(5), 850–859. https://doi.org/10.1016/j.jempfin.2008.03.002</w:t>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Politis, D. N., &amp; Romano, J. P. (1994). The stationary bootstrap. </w:t>
      </w:r>
      <w:r w:rsidDel="00000000" w:rsidR="00000000" w:rsidRPr="00000000">
        <w:rPr>
          <w:rFonts w:ascii="Times New Roman" w:cs="Times New Roman" w:eastAsia="Times New Roman" w:hAnsi="Times New Roman"/>
          <w:i w:val="1"/>
          <w:iCs w:val="1"/>
          <w:rtl w:val="0"/>
        </w:rPr>
        <w:t xml:space="preserve">Journal of the American Statistical Association, 89</w:t>
      </w:r>
      <w:r w:rsidDel="00000000" w:rsidR="00000000" w:rsidRPr="00000000">
        <w:rPr>
          <w:rFonts w:ascii="Times New Roman" w:cs="Times New Roman" w:eastAsia="Times New Roman" w:hAnsi="Times New Roman"/>
          <w:rtl w:val="0"/>
        </w:rPr>
        <w:t xml:space="preserve">(428), 1303–1313. https://doi.org/10.1080/01621459.1994.10476870</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 the 27-trade file is experimental/results/oos_trades_A0_rules.csv (artifacts/trades_default_view.csv holds the 25-trade quality ≥ 1 view)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6 and 7</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Sharpe and drawdown, strategy and cash sleeves, net and gross</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_mtm_blend(), called by run_benchmark_mark_to_market()</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value at every daily close, open trades marked to market, m = 365; net of 0.20% per trade and 0.10% per Bitcoin purchase, and gross; 210 weekly contributions, 2022 to 2026; results in artifacts/benchmark_mtm.json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total return and final capital from run_benchmark_vs_passive(); Sharpe and drawdown from daily closes with open trades marked to market, m = 365, via run_benchmark_mark_to_market(); results in artifacts/benchmark_mtm.json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Tables 14 and 15, Figure 9</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rule_ablation() in experimental/ml_meta_labeling.py, using diff_of_means_bootstrap() and holm()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candidate stream and exit simulator as the baseline; nine gate settings per window; B = 2,000; results in experimental/results/oos.json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on Jan to Aug 2026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lockbox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experimental/results/lockbox.json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trades, Table 16, Figure 10</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run_arm() and summarize_1h() in experimental/rules_1h.py; binomial p via the paper's binomial_test()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the binomial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experimental/data/btcusdt_1h.csv (sha256 ec24028427a9029a…); results in experimental/results_1h/main.json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0.696 and its interval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primary_style_test(), wrapping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literal 1-hour net returns in entry order; B = 10,000; L = 3; seed 20260808</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Random-filter share 63.3%, 12-month windows, cost levels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candidates; 1,000 seeds; 50 windows; costs 0.10%, 0.20%, 0.30%</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windows and holdout, Table 17</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and holdout phases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experimental/results_1h/main.json and holdout.json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114 settlements, net credit 0.11 points, +25.02% after costs and funding</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experimental/funding_cost.py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experimental/data/btcusdt_funding.csv (sha256 ad21493a…), Binance monthly funding archives; results in experimental/results_funding/funding.json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 chart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experimental/plot_tradeoff.py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(plot only)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read from experimental/results/oos.json (Table 14) and experimental/results_1h/main.json (Table 16); listed in experimental/results/fig11_points.json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After-cost bootstrap: percentile [+0.59%, +49.59%]; block [−1.29%, +49.96%], mean [−0.05%, +1.85%]; binomial power 0.18 / 0.36 / 0.58; forward-test tail p = 0.081</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 Limitation 2</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experimental/bootstrap_net_4h.py, calling run_bootstrap_ci() and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1 and 4); SciPy for power and tail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net of 0.20%; B = 10,000; seed 42; L = 3; results in experimental/results/bootstrap_net_4h.json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High-low stop check: 18 wins, +24.85%, p = 0.0610 gross; 16 wins, +19.45%, p = 0.2210 net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experimental/stop_intrabar.py; binomial p via scipy.stats.binomtest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27 entries; stop checked on candle high and low from the candle after entry to the reported exit; results in experimental/results/stop_intrabar.json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curves and blended-plan chart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7 and 8</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experimental/plot_benchmark_figures.py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(plot only)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read from artifacts/benchmark_mtm.json; listed in experimental/results/fig07_fig08_points.json</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formulas below are reproduced in full so a reader can check each exact expression. Formula numbering runs 1 to 6.</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 Applied to daily returns with m = 365.</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Parameters as used: B = 10,000, L = round(n^(1/3)), seed 20260808 for the 1-hour test and seed 42 for the 4-hour after-cost check. For each resample: index k₁ is drawn uniformly from 1 to n; for t = 2 to n, with probability 1/L draw kₜ uniformly, otherwise kₜ = (kₜ₋₁ mod n) + 1. Record r̄* = (1/n) Σ r_{kₜ}. p = (number of r̄* ≤ 0) / B; CI = [P₂.₅(r̄*), P₉₇.₅(r̄*)].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means. Parameters as used: B = 2,000, sampling with replacement. Δ* = mean(resample of a, size n_a) − mean(resample of b, size n_b). CI = [P₂.₅(Δ*), P₉₇.₅(Δ*)]; p = min(1, 2 × min(share Δ* ≤ 0, share Δ* ≥ 0)).</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With p₍₁₎ ≤ … ≤ p₍ₘ₎ and m = 9: p̃₍ᵢ₎ = min(1, max over j ≤ i of (m − j + 1) p₍ⱼ₎).</w:t>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C1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percentage return before costs.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C1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return before costs.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10 adds the 27 returns. The Final capital column compounds them. To compound, divide each return by 100, add 1, and multiply all 27 results together. That product is 1.341777, so the compounded return is +34.18% and $10,000 × 1.341777 = $13,417.77. For the net-of-cost row in Table 11, subtract 0.20 from each return first, then compound the same way. The product is 1.271900, giving +27.19% and $12,719.00. The paper reports $12,719.01; the one-cent gap comes from Table C1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C1. The total is 231 candles held. The window has 8,767 candles, and 231 ÷ 8,767 = 0.026349, which is the 2.6349% in the note to Table 10,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splits the same 27 trades by the year of the entry time in Table C1.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6 from Table C1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C1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C1 is +0.1196 at index 7938, then +0.1264 at 8188, +0.2507 at 2859, and +0.3779 at 5825. That ordering decides which trades flip at each cost level. The p-value for each row comes from D2.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C1.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df = n − 2 = 25. Spearman's ρ uses the same two columns after replacing each value with its rank, giving ρ = 0.479728, reported as +0.4797. The p-values attached to both, 0.0094 and 0.0113, come from SciPy and are not hand-computable; see D10.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Candle count. 1,461 days × 6 candles per day = 8,766 intervals, plus the final stored row = 8,767 rows. Weekly contribution. $10,000 ÷ 210 weeks = $47.6190; for the 2018 window, $10,000 ÷ 209 = $47.8469. Annualization factor for the Sharpe ratio. Every arm uses daily returns, so m = 365. Combined window in Table 9.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C1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 The same holds for the after-cost intervals in SOP 1, including the block-bootstrap interval.</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10 through 13. Sharpe and maximum drawdown both use each arm's value at every daily close, with the strategy's open trades marked to market; neither comes from trade returns alone.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 The high-low stop check in Table 5. It needs each candle's high and low over every trade, which Table C1 does not print.</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7,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12, the 2018 to 2022 window, and Table 8, the 2026 forward test. These use trade sets that are not printed in this paper.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Tables 14 to 17 and Figures 9 and 10. They use trade sets that are not printed here, and their intervals and p-values need thousands of resamples. The committed result files named in Appendix A hold every input.</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footerReference w:type="first" r:id="rId22"/>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3.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