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40"/>
        </w:rPr>
        <w:t>HEDGE — ISEF Defense Cheat Sheet</w:t>
      </w:r>
    </w:p>
    <w:p>
      <w:pPr>
        <w:spacing w:line="276" w:lineRule="auto" w:before="0"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0"/>
        </w:rPr>
        <w:t>Quick reference: reported numbers, how each was built, how each was solved, and why that tool over another. Not the paper — see HEDGE_Paper.docx for full text, citations, and Appendices A-E for per-number traceability and hand-computation.</w:t>
      </w:r>
    </w:p>
    <w:p>
      <w:pPr>
        <w:spacing w:line="240" w:lineRule="auto" w:before="120" w:after="120"/>
        <w:jc w:val="left"/>
        <w:pBdr>
          <w:bottom w:val="single" w:sz="6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8"/>
        </w:rPr>
        <w:t>Study at a Glance</w:t>
      </w:r>
    </w:p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Rule-based BTC/USDT strategy (MACD momentum gate + KDJ entry/exit + dual-ATR risk sizing + Smart Money Concepts Order Blocks) backtested candle-by-candle on 8,767 four-hour candles, 2022-01-01 to 2026-01-01. Every rule and parameter was set by eye from 2018-01 to 2022-01 charts and frozen before the reported window was measured (Fig. 1).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SOP 1 — Does the strategy itself win, before and after realistic costs? Answer: yes before costs (p=0.0261), no after them (p=0.1239).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SOP 2 — How does it compare to weekly DCA and lump-sum buy-and-hold from equal capital? Answer: DCA wins on final value ($22,312.94 vs $13,417.77); the strategy wins on risk-adjusted shape at only 2.63% time in market.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SOP 3 — Does blending a strategy share into a DCA plan improve its risk-adjusted profile? Answer: yes, all three measures (Sharpe, Sortino, MaxDD) improve monotonically from 0% to 30% strategy share.</w:t>
      </w:r>
    </w:p>
    <w:p>
      <w:pPr>
        <w:spacing w:line="240" w:lineRule="auto" w:before="200" w:after="0"/>
        <w:jc w:val="left"/>
        <w:keepNext w:val="1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Figure 9</w:t>
      </w:r>
    </w:p>
    <w:p>
      <w:pPr>
        <w:spacing w:line="240" w:lineRule="auto" w:before="0" w:after="80"/>
        <w:jc w:val="left"/>
        <w:keepNext w:val="1"/>
      </w:pPr>
      <w:r>
        <w:rPr>
          <w:rFonts w:ascii="Times New Roman" w:hAnsi="Times New Roman" w:cs="Times New Roman" w:eastAsia="Times New Roman"/>
          <w:b w:val="0"/>
          <w:i/>
          <w:sz w:val="24"/>
        </w:rPr>
        <w:t>Headline Numbers at a Glance</w:t>
      </w:r>
    </w:p>
    <w:p>
      <w:pPr>
        <w:spacing w:line="240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58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headline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240" w:lineRule="auto" w:before="120" w:after="120"/>
        <w:jc w:val="left"/>
        <w:pBdr>
          <w:bottom w:val="single" w:sz="6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8"/>
        </w:rPr>
        <w:t>SOP 1 — Strategy Performance</w:t>
      </w:r>
    </w:p>
    <w:p>
      <w:pPr>
        <w:spacing w:line="240" w:lineRule="auto" w:before="200" w:after="0"/>
        <w:jc w:val="left"/>
        <w:keepNext w:val="1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Table 1</w:t>
      </w:r>
    </w:p>
    <w:p>
      <w:pPr>
        <w:spacing w:line="240" w:lineRule="auto" w:before="0" w:after="80"/>
        <w:jc w:val="left"/>
        <w:keepNext w:val="1"/>
      </w:pPr>
      <w:r>
        <w:rPr>
          <w:rFonts w:ascii="Times New Roman" w:hAnsi="Times New Roman" w:cs="Times New Roman" w:eastAsia="Times New Roman"/>
          <w:b w:val="0"/>
          <w:i/>
          <w:sz w:val="24"/>
        </w:rPr>
        <w:t>Baseline Performance, 2022-2026, Gross of Costs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left w:val="nil" w:sz="0" w:space="0" w:color="000000"/>
          <w:bottom w:val="single" w:sz="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4968"/>
        <w:gridCol w:w="4968"/>
      </w:tblGrid>
      <w:tr>
        <w:trPr>
          <w:tblHeader w:val="1"/>
        </w:trP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Metric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Trades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27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Wins / Losses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19 / 8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Win rate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70.37%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Total net return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+30.31%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Avg return/trade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+1.1225%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SD of return/trade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2.41%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One-sided binomial p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0.0261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Bootstrap 95% CI (total return)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[+5.9866%, +54.9866%]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Pearson r (hold time vs return)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+0.4907, p ≈ 0.0094</w:t>
            </w:r>
          </w:p>
        </w:tc>
      </w:tr>
      <w:tr>
        <w:tc>
          <w:tcPr>
            <w:tcW w:w="5413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Spearman ρ (hold time vs return)</w:t>
            </w:r>
          </w:p>
        </w:tc>
        <w:tc>
          <w:tcPr>
            <w:tcW w:w="394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+0.4797, p ≈ 0.0113</w:t>
            </w:r>
          </w:p>
        </w:tc>
      </w:tr>
    </w:tbl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How built. Candle-by-candle `simulate_trades()`, no-lookahead enforced with runtime assertions at every forward-search site. Entry needs all six MACD+KDJ+ATR+SMC-OB conditions at one candle close (Fig. 4); exits checked in a fixed priority order each candle (Fig. 5).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968"/>
        <w:gridCol w:w="4968"/>
      </w:tblGrid>
      <w:tr>
        <w:tc>
          <w:tcPr>
            <w:tcW w:w="2880360" w:type="dxa"/>
            <w:tcW w:type="dxa" w:w="4968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29028600" cy="114513094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28600" cy="11451309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Figure 4. Long Entry Decision Sequence</w:t>
            </w:r>
          </w:p>
        </w:tc>
        <w:tc>
          <w:tcPr>
            <w:tcW w:w="2880360" w:type="dxa"/>
            <w:tcW w:type="dxa" w:w="4968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29028600" cy="8840304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28600" cy="884030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Figure 5. Exit Priority Order</w:t>
            </w:r>
          </w:p>
        </w:tc>
      </w:tr>
    </w:tbl>
    <w:p>
      <w:pPr>
        <w:spacing w:after="80"/>
      </w:pPr>
    </w:p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How solved.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Win rate / return / SD — descriptive statistics, no test.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One-sided binomial p — `binomial_test()`, a direct call to `scipy.stats.binomtest(19, 27, 0.5, alternative="greater")`.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Bootstrap CI — `bootstrap_resample()`, a hand-written percentile bootstrap (Formula 1): resample the 27 returns with replacement B=10,000 times (seed 42), take the 2.5th/97.5th percentiles of the resampled totals.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Pearson / Spearman — `pearson_correlation()` / `spearman_correlation()`, direct calls to `scipy.stats.pearsonr` / `spearmanr` on (hold_bars, pnl_pct).</w:t>
      </w:r>
    </w:p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Why this tool, not another.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Exact binomial, not a normal-approximation z-test — n=27 is small enough that the normal approximation to the binomial can misstate the tail; the exact test has no approximation error to disclose.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Plain percentile bootstrap, not `scipy.stats.bootstrap`'s BCa option — matches the textbook form Efron &amp; Tibshirani (1993) describe, and matches what the independent JS dashboard cross-check also implements, which is what makes the two intervals comparable at all (see Q&amp;A page).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Both Pearson AND Spearman, not just one — Pearson checks a straight-line relationship, Spearman checks only a consistent direction; running both is a robustness check, not redundancy.</w:t>
      </w:r>
    </w:p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Cost sensitivity (condensed from the paper's Table 4):</w:t>
      </w:r>
    </w:p>
    <w:p>
      <w:pPr>
        <w:spacing w:line="240" w:lineRule="auto" w:before="200" w:after="0"/>
        <w:jc w:val="left"/>
        <w:keepNext w:val="1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Table 2</w:t>
      </w:r>
    </w:p>
    <w:p>
      <w:pPr>
        <w:spacing w:line="240" w:lineRule="auto" w:before="0" w:after="80"/>
        <w:jc w:val="left"/>
        <w:keepNext w:val="1"/>
      </w:pPr>
      <w:r>
        <w:rPr>
          <w:rFonts w:ascii="Times New Roman" w:hAnsi="Times New Roman" w:cs="Times New Roman" w:eastAsia="Times New Roman"/>
          <w:b w:val="0"/>
          <w:i/>
          <w:sz w:val="24"/>
        </w:rPr>
        <w:t>Win Rate and Significance Across Cost Scenarios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left w:val="nil" w:sz="0" w:space="0" w:color="000000"/>
          <w:bottom w:val="single" w:sz="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2484"/>
        <w:gridCol w:w="2484"/>
        <w:gridCol w:w="2484"/>
        <w:gridCol w:w="2484"/>
      </w:tblGrid>
      <w:tr>
        <w:trPr>
          <w:tblHeader w:val="1"/>
        </w:trPr>
        <w:tc>
          <w:tcPr>
            <w:tcW w:w="3528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Round-trip cost</w:t>
            </w:r>
          </w:p>
        </w:tc>
        <w:tc>
          <w:tcPr>
            <w:tcW w:w="1342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Win rate</w:t>
            </w:r>
          </w:p>
        </w:tc>
        <w:tc>
          <w:tcPr>
            <w:tcW w:w="1819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Total return</w:t>
            </w:r>
          </w:p>
        </w:tc>
        <w:tc>
          <w:tcPr>
            <w:tcW w:w="2671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Binomial p (1-sided)</w:t>
            </w:r>
          </w:p>
        </w:tc>
      </w:tr>
      <w:tr>
        <w:tc>
          <w:tcPr>
            <w:tcW w:w="3528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Gross (0%)</w:t>
            </w:r>
          </w:p>
        </w:tc>
        <w:tc>
          <w:tcPr>
            <w:tcW w:w="134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70.37%</w:t>
            </w:r>
          </w:p>
        </w:tc>
        <w:tc>
          <w:tcPr>
            <w:tcW w:w="1819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+30.31%</w:t>
            </w:r>
          </w:p>
        </w:tc>
        <w:tc>
          <w:tcPr>
            <w:tcW w:w="267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0.0261</w:t>
            </w:r>
          </w:p>
        </w:tc>
      </w:tr>
      <w:tr>
        <w:tc>
          <w:tcPr>
            <w:tcW w:w="3528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0.10% (fees only)</w:t>
            </w:r>
          </w:p>
        </w:tc>
        <w:tc>
          <w:tcPr>
            <w:tcW w:w="134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70.37%</w:t>
            </w:r>
          </w:p>
        </w:tc>
        <w:tc>
          <w:tcPr>
            <w:tcW w:w="1819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+27.61%</w:t>
            </w:r>
          </w:p>
        </w:tc>
        <w:tc>
          <w:tcPr>
            <w:tcW w:w="267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0.0261</w:t>
            </w:r>
          </w:p>
        </w:tc>
      </w:tr>
      <w:tr>
        <w:tc>
          <w:tcPr>
            <w:tcW w:w="3528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0.20% (primary, fee+slippage)</w:t>
            </w:r>
          </w:p>
        </w:tc>
        <w:tc>
          <w:tcPr>
            <w:tcW w:w="134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62.96%</w:t>
            </w:r>
          </w:p>
        </w:tc>
        <w:tc>
          <w:tcPr>
            <w:tcW w:w="1819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+24.91%</w:t>
            </w:r>
          </w:p>
        </w:tc>
        <w:tc>
          <w:tcPr>
            <w:tcW w:w="267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0.1239</w:t>
            </w:r>
          </w:p>
        </w:tc>
      </w:tr>
      <w:tr>
        <w:tc>
          <w:tcPr>
            <w:tcW w:w="3528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0.40% (high band)</w:t>
            </w:r>
          </w:p>
        </w:tc>
        <w:tc>
          <w:tcPr>
            <w:tcW w:w="134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55.56%</w:t>
            </w:r>
          </w:p>
        </w:tc>
        <w:tc>
          <w:tcPr>
            <w:tcW w:w="1819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+19.51%</w:t>
            </w:r>
          </w:p>
        </w:tc>
        <w:tc>
          <w:tcPr>
            <w:tcW w:w="267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0.3506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Times New Roman" w:hAnsi="Times New Roman" w:cs="Times New Roman" w:eastAsia="Times New Roman"/>
          <w:b w:val="0"/>
          <w:i/>
          <w:sz w:val="20"/>
        </w:rPr>
        <w:t>Note. The flip at 0.14%-0.24% is exactly two trades (indices 7938, 8188), each worth +0.12%/+0.13% before costs.</w:t>
      </w:r>
    </w:p>
    <w:p>
      <w:pPr>
        <w:spacing w:line="240" w:lineRule="auto" w:before="200" w:after="0"/>
        <w:jc w:val="left"/>
        <w:keepNext w:val="1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Figure 6</w:t>
      </w:r>
    </w:p>
    <w:p>
      <w:pPr>
        <w:spacing w:line="240" w:lineRule="auto" w:before="0" w:after="80"/>
        <w:jc w:val="left"/>
        <w:keepNext w:val="1"/>
      </w:pPr>
      <w:r>
        <w:rPr>
          <w:rFonts w:ascii="Times New Roman" w:hAnsi="Times New Roman" w:cs="Times New Roman" w:eastAsia="Times New Roman"/>
          <w:b w:val="0"/>
          <w:i/>
          <w:sz w:val="24"/>
        </w:rPr>
        <w:t>Win Rate and Significance Across Six Transaction-Cost Scenarios</w:t>
      </w:r>
    </w:p>
    <w:p>
      <w:pPr>
        <w:spacing w:line="240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58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240" w:lineRule="auto" w:before="120" w:after="120"/>
        <w:jc w:val="left"/>
        <w:pBdr>
          <w:bottom w:val="single" w:sz="6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8"/>
        </w:rPr>
        <w:t>SOP 2 — Strategy vs. Dollar-Cost Averaging vs. Buy-and-Hold</w:t>
      </w:r>
    </w:p>
    <w:p>
      <w:pPr>
        <w:spacing w:line="240" w:lineRule="auto" w:before="200" w:after="0"/>
        <w:jc w:val="left"/>
        <w:keepNext w:val="1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Table 3</w:t>
      </w:r>
    </w:p>
    <w:p>
      <w:pPr>
        <w:spacing w:line="240" w:lineRule="auto" w:before="0" w:after="80"/>
        <w:jc w:val="left"/>
        <w:keepNext w:val="1"/>
      </w:pPr>
      <w:r>
        <w:rPr>
          <w:rFonts w:ascii="Times New Roman" w:hAnsi="Times New Roman" w:cs="Times New Roman" w:eastAsia="Times New Roman"/>
          <w:b w:val="0"/>
          <w:i/>
          <w:sz w:val="24"/>
        </w:rPr>
        <w:t>Three-Arm Head-to-Head, 2022-2026, Gross of Costs, $10,000 Start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left w:val="nil" w:sz="0" w:space="0" w:color="000000"/>
          <w:bottom w:val="single" w:sz="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1"/>
        </w:trPr>
        <w:tc>
          <w:tcPr>
            <w:tcW w:w="2146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Arm</w:t>
            </w:r>
          </w:p>
        </w:tc>
        <w:tc>
          <w:tcPr>
            <w:tcW w:w="1410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Total return</w:t>
            </w:r>
          </w:p>
        </w:tc>
        <w:tc>
          <w:tcPr>
            <w:tcW w:w="1497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Final capital</w:t>
            </w:r>
          </w:p>
        </w:tc>
        <w:tc>
          <w:tcPr>
            <w:tcW w:w="838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Sharpe</w:t>
            </w:r>
          </w:p>
        </w:tc>
        <w:tc>
          <w:tcPr>
            <w:tcW w:w="941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Sortino</w:t>
            </w:r>
          </w:p>
        </w:tc>
        <w:tc>
          <w:tcPr>
            <w:tcW w:w="941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MaxDD</w:t>
            </w:r>
          </w:p>
        </w:tc>
        <w:tc>
          <w:tcPr>
            <w:tcW w:w="1587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Time in market</w:t>
            </w:r>
          </w:p>
        </w:tc>
      </w:tr>
      <w:tr>
        <w:tc>
          <w:tcPr>
            <w:tcW w:w="2146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OB-gated strategy</w:t>
            </w:r>
          </w:p>
        </w:tc>
        <w:tc>
          <w:tcPr>
            <w:tcW w:w="1410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+30.31%</w:t>
            </w:r>
          </w:p>
        </w:tc>
        <w:tc>
          <w:tcPr>
            <w:tcW w:w="149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$13,417.77</w:t>
            </w:r>
          </w:p>
        </w:tc>
        <w:tc>
          <w:tcPr>
            <w:tcW w:w="838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1.114</w:t>
            </w:r>
          </w:p>
        </w:tc>
        <w:tc>
          <w:tcPr>
            <w:tcW w:w="94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2.727</w:t>
            </w:r>
          </w:p>
        </w:tc>
        <w:tc>
          <w:tcPr>
            <w:tcW w:w="94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−6.46%</w:t>
            </w:r>
          </w:p>
        </w:tc>
        <w:tc>
          <w:tcPr>
            <w:tcW w:w="158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2.63%</w:t>
            </w:r>
          </w:p>
        </w:tc>
      </w:tr>
      <w:tr>
        <w:tc>
          <w:tcPr>
            <w:tcW w:w="2146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Weekly DCA into BTC</w:t>
            </w:r>
          </w:p>
        </w:tc>
        <w:tc>
          <w:tcPr>
            <w:tcW w:w="1410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+123.13%</w:t>
            </w:r>
          </w:p>
        </w:tc>
        <w:tc>
          <w:tcPr>
            <w:tcW w:w="149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$22,312.94</w:t>
            </w:r>
          </w:p>
        </w:tc>
        <w:tc>
          <w:tcPr>
            <w:tcW w:w="838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0.556</w:t>
            </w:r>
          </w:p>
        </w:tc>
        <w:tc>
          <w:tcPr>
            <w:tcW w:w="94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0.886</w:t>
            </w:r>
          </w:p>
        </w:tc>
        <w:tc>
          <w:tcPr>
            <w:tcW w:w="94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−27.85%</w:t>
            </w:r>
          </w:p>
        </w:tc>
        <w:tc>
          <w:tcPr>
            <w:tcW w:w="158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100.00%</w:t>
            </w:r>
          </w:p>
        </w:tc>
      </w:tr>
      <w:tr>
        <w:tc>
          <w:tcPr>
            <w:tcW w:w="2146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Lump-sum buy-and-hold</w:t>
            </w:r>
          </w:p>
        </w:tc>
        <w:tc>
          <w:tcPr>
            <w:tcW w:w="1410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+90.07%</w:t>
            </w:r>
          </w:p>
        </w:tc>
        <w:tc>
          <w:tcPr>
            <w:tcW w:w="149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$19,007.32</w:t>
            </w:r>
          </w:p>
        </w:tc>
        <w:tc>
          <w:tcPr>
            <w:tcW w:w="838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0.564</w:t>
            </w:r>
          </w:p>
        </w:tc>
        <w:tc>
          <w:tcPr>
            <w:tcW w:w="94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0.803</w:t>
            </w:r>
          </w:p>
        </w:tc>
        <w:tc>
          <w:tcPr>
            <w:tcW w:w="941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−67.21%</w:t>
            </w:r>
          </w:p>
        </w:tc>
        <w:tc>
          <w:tcPr>
            <w:tcW w:w="158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100.00%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Times New Roman" w:hAnsi="Times New Roman" w:cs="Times New Roman" w:eastAsia="Times New Roman"/>
          <w:b w:val="0"/>
          <w:i/>
          <w:sz w:val="20"/>
        </w:rPr>
        <w:t>Note. Strategy Total return is the arithmetic sum of the 27 trade returns (the +30.31% headline); Final capital compounds the same returns in sequence, giving +34.18% compounded, hence $13,417.77. Net of a 0.20%/0.10% cost model, the strategy row becomes +24.91% / $12,719.01; both passive arms barely move.</w:t>
      </w:r>
    </w:p>
    <w:p>
      <w:pPr>
        <w:spacing w:line="240" w:lineRule="auto" w:before="200" w:after="0"/>
        <w:jc w:val="left"/>
        <w:keepNext w:val="1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Figure 7</w:t>
      </w:r>
    </w:p>
    <w:p>
      <w:pPr>
        <w:spacing w:line="240" w:lineRule="auto" w:before="0" w:after="80"/>
        <w:jc w:val="left"/>
        <w:keepNext w:val="1"/>
      </w:pPr>
      <w:r>
        <w:rPr>
          <w:rFonts w:ascii="Times New Roman" w:hAnsi="Times New Roman" w:cs="Times New Roman" w:eastAsia="Times New Roman"/>
          <w:b w:val="0"/>
          <w:i/>
          <w:sz w:val="24"/>
        </w:rPr>
        <w:t>Three Arms Grown From an Equal $10,000 Start, 2022-2026</w:t>
      </w:r>
    </w:p>
    <w:p>
      <w:pPr>
        <w:spacing w:line="240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50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How built. `run_benchmark_vs_passive()` (Section 5B). All three arms share the same window and the same ISO-week contribution-timing rule (a contribution lands on the first bar of every ISO week, buys at that bar's close). Strategy arm sits in cash between trades and compounds only at trade-exit bars; DCA buys $47.6190/week across 210 weeks; lump-sum buys the full $10,000 at the first bar's open and holds.</w:t>
      </w:r>
    </w:p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How solved. `sharpe_sortino_ratios()` and `max_drawdown_pct()` — both custom (Formulas 3 and 2), computed once per arm's own equity curve, annualized with each arm's own frequency (m = 2,191.5 for the strategy and lump-sum's 4-hour bars, m = 52 for DCA's weekly bars).</w:t>
      </w:r>
    </w:p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Why custom, not a library call.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No single SciPy/package function turns an arbitrary-frequency equity curve into an annualized Sharpe/Sortino/MaxDD in one call — these were assembled from Sharpe (1966) and Sortino &amp; van der Meer (1991) directly.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Sortino's downside deviation here divides by N (all periods), not just the count of losing periods — the textbook-correct convention, and a deliberate departure from a popular public tutorial that uses the losing-periods-only shortcut (checked line-by-line; see PROVENANCE_VERDICT.md #10).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Max drawdown is the standard three-line running-peak/percent-decline formula — too short and too standard to warrant a library dependency.</w:t>
      </w:r>
    </w:p>
    <w:p>
      <w:r>
        <w:br w:type="page"/>
      </w:r>
    </w:p>
    <w:p>
      <w:pPr>
        <w:spacing w:line="240" w:lineRule="auto" w:before="120" w:after="120"/>
        <w:jc w:val="left"/>
        <w:pBdr>
          <w:bottom w:val="single" w:sz="6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8"/>
        </w:rPr>
        <w:t>SOP 3 — Blended DCA + Strategy Sleeve</w:t>
      </w:r>
    </w:p>
    <w:p>
      <w:pPr>
        <w:spacing w:line="240" w:lineRule="auto" w:before="200" w:after="0"/>
        <w:jc w:val="left"/>
        <w:keepNext w:val="1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Table 4</w:t>
      </w:r>
    </w:p>
    <w:p>
      <w:pPr>
        <w:spacing w:line="240" w:lineRule="auto" w:before="0" w:after="80"/>
        <w:jc w:val="left"/>
        <w:keepNext w:val="1"/>
      </w:pPr>
      <w:r>
        <w:rPr>
          <w:rFonts w:ascii="Times New Roman" w:hAnsi="Times New Roman" w:cs="Times New Roman" w:eastAsia="Times New Roman"/>
          <w:b w:val="0"/>
          <w:i/>
          <w:sz w:val="24"/>
        </w:rPr>
        <w:t>Risk-Adjusted Profile at Increasing Strategy Allocation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left w:val="nil" w:sz="0" w:space="0" w:color="000000"/>
          <w:bottom w:val="single" w:sz="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2484"/>
        <w:gridCol w:w="2484"/>
        <w:gridCol w:w="2484"/>
        <w:gridCol w:w="2484"/>
      </w:tblGrid>
      <w:tr>
        <w:trPr>
          <w:tblHeader w:val="1"/>
        </w:trPr>
        <w:tc>
          <w:tcPr>
            <w:tcW w:w="4207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Split (DCA / Strategy)</w:t>
            </w:r>
          </w:p>
        </w:tc>
        <w:tc>
          <w:tcPr>
            <w:tcW w:w="1587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Sharpe</w:t>
            </w:r>
          </w:p>
        </w:tc>
        <w:tc>
          <w:tcPr>
            <w:tcW w:w="1782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Sortino</w:t>
            </w:r>
          </w:p>
        </w:tc>
        <w:tc>
          <w:tcPr>
            <w:tcW w:w="1784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MaxDD</w:t>
            </w:r>
          </w:p>
        </w:tc>
      </w:tr>
      <w:tr>
        <w:tc>
          <w:tcPr>
            <w:tcW w:w="420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100% / 0%</w:t>
            </w:r>
          </w:p>
        </w:tc>
        <w:tc>
          <w:tcPr>
            <w:tcW w:w="158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0.556</w:t>
            </w:r>
          </w:p>
        </w:tc>
        <w:tc>
          <w:tcPr>
            <w:tcW w:w="178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0.886</w:t>
            </w:r>
          </w:p>
        </w:tc>
        <w:tc>
          <w:tcPr>
            <w:tcW w:w="1784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−27.85%</w:t>
            </w:r>
          </w:p>
        </w:tc>
      </w:tr>
      <w:tr>
        <w:tc>
          <w:tcPr>
            <w:tcW w:w="420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90% / 10%</w:t>
            </w:r>
          </w:p>
        </w:tc>
        <w:tc>
          <w:tcPr>
            <w:tcW w:w="158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0.581</w:t>
            </w:r>
          </w:p>
        </w:tc>
        <w:tc>
          <w:tcPr>
            <w:tcW w:w="178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0.930</w:t>
            </w:r>
          </w:p>
        </w:tc>
        <w:tc>
          <w:tcPr>
            <w:tcW w:w="1784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−26.51%</w:t>
            </w:r>
          </w:p>
        </w:tc>
      </w:tr>
      <w:tr>
        <w:tc>
          <w:tcPr>
            <w:tcW w:w="420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80% / 20%</w:t>
            </w:r>
          </w:p>
        </w:tc>
        <w:tc>
          <w:tcPr>
            <w:tcW w:w="158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0.607</w:t>
            </w:r>
          </w:p>
        </w:tc>
        <w:tc>
          <w:tcPr>
            <w:tcW w:w="178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0.978</w:t>
            </w:r>
          </w:p>
        </w:tc>
        <w:tc>
          <w:tcPr>
            <w:tcW w:w="1784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−24.97%</w:t>
            </w:r>
          </w:p>
        </w:tc>
      </w:tr>
      <w:tr>
        <w:tc>
          <w:tcPr>
            <w:tcW w:w="420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70% / 30%</w:t>
            </w:r>
          </w:p>
        </w:tc>
        <w:tc>
          <w:tcPr>
            <w:tcW w:w="1587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0.637</w:t>
            </w:r>
          </w:p>
        </w:tc>
        <w:tc>
          <w:tcPr>
            <w:tcW w:w="178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1.032</w:t>
            </w:r>
          </w:p>
        </w:tc>
        <w:tc>
          <w:tcPr>
            <w:tcW w:w="1784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−23.18%</w:t>
            </w:r>
          </w:p>
        </w:tc>
      </w:tr>
    </w:tbl>
    <w:p>
      <w:pPr>
        <w:spacing w:line="240" w:lineRule="auto" w:before="200" w:after="0"/>
        <w:jc w:val="left"/>
        <w:keepNext w:val="1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Figure 8</w:t>
      </w:r>
    </w:p>
    <w:p>
      <w:pPr>
        <w:spacing w:line="240" w:lineRule="auto" w:before="0" w:after="80"/>
        <w:jc w:val="left"/>
        <w:keepNext w:val="1"/>
      </w:pPr>
      <w:r>
        <w:rPr>
          <w:rFonts w:ascii="Times New Roman" w:hAnsi="Times New Roman" w:cs="Times New Roman" w:eastAsia="Times New Roman"/>
          <w:b w:val="0"/>
          <w:i/>
          <w:sz w:val="24"/>
        </w:rPr>
        <w:t>Risk-Adjusted Profile Across Increasing Strategy Allocations</w:t>
      </w:r>
    </w:p>
    <w:p>
      <w:pPr>
        <w:spacing w:line="240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75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How built/solved. Same `sharpe_sortino_ratios()` / `max_drawdown_pct()` as SOP 2, applied to the blended equity curve (Bitcoin units plus a strategy-sleeve cash balance that compounds at each trade exit, never moved back into Bitcoin) at each of four allocation levels.</w:t>
      </w:r>
    </w:p>
    <w:p>
      <w:pPr>
        <w:spacing w:line="259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Why no p-value here. Sharpe, Sortino, and MaxDD are each one number computed from one realized price path — there is no sampling distribution behind them, so H₀₂/H₁₂ are judged descriptively: do all three move the same direction at every step, with no reversal. They do.</w:t>
      </w:r>
    </w:p>
    <w:p>
      <w:r>
        <w:br w:type="page"/>
      </w:r>
    </w:p>
    <w:p>
      <w:pPr>
        <w:spacing w:line="240" w:lineRule="auto" w:before="120" w:after="120"/>
        <w:jc w:val="left"/>
        <w:pBdr>
          <w:bottom w:val="single" w:sz="6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8"/>
        </w:rPr>
        <w:t>Statistical Tool Chooser</w:t>
      </w:r>
    </w:p>
    <w:p>
      <w:pPr>
        <w:spacing w:line="240" w:lineRule="auto" w:before="200" w:after="0"/>
        <w:jc w:val="left"/>
        <w:keepNext w:val="1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Table 5</w:t>
      </w:r>
    </w:p>
    <w:p>
      <w:pPr>
        <w:spacing w:line="240" w:lineRule="auto" w:before="0" w:after="80"/>
        <w:jc w:val="left"/>
        <w:keepNext w:val="1"/>
      </w:pPr>
      <w:r>
        <w:rPr>
          <w:rFonts w:ascii="Times New Roman" w:hAnsi="Times New Roman" w:cs="Times New Roman" w:eastAsia="Times New Roman"/>
          <w:b w:val="0"/>
          <w:i/>
          <w:sz w:val="24"/>
        </w:rPr>
        <w:t>Every Reported Statistic, Source, and Why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left w:val="nil" w:sz="0" w:space="0" w:color="000000"/>
          <w:bottom w:val="single" w:sz="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3312"/>
        <w:gridCol w:w="3312"/>
        <w:gridCol w:w="3312"/>
      </w:tblGrid>
      <w:tr>
        <w:trPr>
          <w:tblHeader w:val="1"/>
        </w:trPr>
        <w:tc>
          <w:tcPr>
            <w:tcW w:w="1492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Quantity</w:t>
            </w:r>
          </w:p>
        </w:tc>
        <w:tc>
          <w:tcPr>
            <w:tcW w:w="1372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Source</w:t>
            </w:r>
          </w:p>
        </w:tc>
        <w:tc>
          <w:tcPr>
            <w:tcW w:w="6496" w:type="dxa"/>
            <w:tcBorders>
              <w:top w:val="nil" w:sz="0" w:space="0" w:color="000000"/>
              <w:left w:val="nil" w:sz="0" w:space="0" w:color="000000"/>
              <w:bottom w:val="single" w:sz="4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Why this, not the alternative</w:t>
            </w:r>
          </w:p>
        </w:tc>
      </w:tr>
      <w:tr>
        <w:tc>
          <w:tcPr>
            <w:tcW w:w="149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Exact binomial test</w:t>
            </w:r>
          </w:p>
        </w:tc>
        <w:tc>
          <w:tcPr>
            <w:tcW w:w="137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SciPy `binomtest`</w:t>
            </w:r>
          </w:p>
        </w:tc>
        <w:tc>
          <w:tcPr>
            <w:tcW w:w="6496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Exact for small n; no normal-approximation error to disclose</w:t>
            </w:r>
          </w:p>
        </w:tc>
      </w:tr>
      <w:tr>
        <w:tc>
          <w:tcPr>
            <w:tcW w:w="149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Pearson's r + p</w:t>
            </w:r>
          </w:p>
        </w:tc>
        <w:tc>
          <w:tcPr>
            <w:tcW w:w="137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SciPy `pearsonr`</w:t>
            </w:r>
          </w:p>
        </w:tc>
        <w:tc>
          <w:tcPr>
            <w:tcW w:w="6496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Straight-line relationship check</w:t>
            </w:r>
          </w:p>
        </w:tc>
      </w:tr>
      <w:tr>
        <w:tc>
          <w:tcPr>
            <w:tcW w:w="149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Spearman's ρ + p</w:t>
            </w:r>
          </w:p>
        </w:tc>
        <w:tc>
          <w:tcPr>
            <w:tcW w:w="137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SciPy `spearmanr`</w:t>
            </w:r>
          </w:p>
        </w:tc>
        <w:tc>
          <w:tcPr>
            <w:tcW w:w="6496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Monotonic-only check; run alongside Pearson as a robustness pair</w:t>
            </w:r>
          </w:p>
        </w:tc>
      </w:tr>
      <w:tr>
        <w:tc>
          <w:tcPr>
            <w:tcW w:w="149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Bootstrap 95% CI</w:t>
            </w:r>
          </w:p>
        </w:tc>
        <w:tc>
          <w:tcPr>
            <w:tcW w:w="137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Custom, Formula 1</w:t>
            </w:r>
          </w:p>
        </w:tc>
        <w:tc>
          <w:tcPr>
            <w:tcW w:w="6496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Plain percentile form (not BCa) matches the independent JS cross-check's method, keeping the comparison meaningful</w:t>
            </w:r>
          </w:p>
        </w:tc>
      </w:tr>
      <w:tr>
        <w:tc>
          <w:tcPr>
            <w:tcW w:w="149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Maximum drawdown</w:t>
            </w:r>
          </w:p>
        </w:tc>
        <w:tc>
          <w:tcPr>
            <w:tcW w:w="137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Custom, Formula 2</w:t>
            </w:r>
          </w:p>
        </w:tc>
        <w:tc>
          <w:tcPr>
            <w:tcW w:w="6496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3-line running-peak formula; too standard/short to need a library</w:t>
            </w:r>
          </w:p>
        </w:tc>
      </w:tr>
      <w:tr>
        <w:tc>
          <w:tcPr>
            <w:tcW w:w="149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Sharpe &amp; Sortino</w:t>
            </w:r>
          </w:p>
        </w:tc>
        <w:tc>
          <w:tcPr>
            <w:tcW w:w="1372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Custom, Formula 3</w:t>
            </w:r>
          </w:p>
        </w:tc>
        <w:tc>
          <w:tcPr>
            <w:tcW w:w="6496" w:type="dxa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40" w:lineRule="auto" w:before="20" w:after="20"/>
              <w:jc w:val="right"/>
            </w:pPr>
            <w:r>
              <w:rPr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single library call spans arbitrary-frequency annualization; Sortino uses the full-N (not losing-only) downside-deviation convention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Times New Roman" w:hAnsi="Times New Roman" w:cs="Times New Roman" w:eastAsia="Times New Roman"/>
          <w:b w:val="0"/>
          <w:i/>
          <w:sz w:val="20"/>
        </w:rPr>
        <w:t>Note. Fisher's exact test, Welch's t-test, and an MDE power-analysis formula were used in an earlier per-OB-criterion draft and have since been fully removed from research_analysis.py (not merely unused) — that criterion-by-criterion comparison was cut from the final paper. If asked "what happened to Fisher/Welch," this is the answer.</w:t>
      </w:r>
    </w:p>
    <w:p>
      <w:r>
        <w:br w:type="page"/>
      </w:r>
    </w:p>
    <w:p>
      <w:pPr>
        <w:spacing w:line="240" w:lineRule="auto" w:before="120" w:after="120"/>
        <w:jc w:val="left"/>
        <w:pBdr>
          <w:bottom w:val="single" w:sz="6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8"/>
        </w:rPr>
        <w:t>Known Corrections and Panel Q&amp;A Rapid-Fire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Backtest-engine bug (disclosed). The FVG and Displacement quality-criteria search loops could read 1-2 bars past an Order Block's own confirmation bar, because the loop was bounded by dataset length instead of the confirmation bar. Found via the no-lookahead audit; fixed by freezing the window at the confirmation bar. Does not change the 27-trade baseline, which applies no quality-score filter.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p-value overclaim (corrected). Two correlation p-values were once written as "p &lt; 0.001"; independently recomputed at p ≈ 0.0094 (Pearson) and p ≈ 0.0113 (Spearman) — still significant at α=0.05, wrong significance bucket at α=0.001. Both source documents corrected.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Bootstrap B mismatch (both correct, kept separate). Python (`bootstrap_resample`, B=10,000, seed 42) gives [+5.99%, +54.99%]. The independent JS dashboard (`computeOwnBootstrapCI`, B=2,000, seed 42, its own mulberry32 PRNG) gives [+7.48%, +54.46%]. Root cause confirmed to be the B difference alone — porting mulberry32 to Python reproduced the JS figure exactly. The two are disclosed together, never merged into one number.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Dual KDJ architecture (by design, not a bug). Entry gating reads one fixed, full-history KDJ(9,3,3) computed once over the whole dataset — it never changes trade to trade. A separate state machine (`kdj_reset_init/update/exit`), seeded from the fixed KDJ at the entry bar, times one exit signal only, with a window `w` set once per trade (observed range 14-439, median 74). Confirmed by read-only audit that the exit-side window has no effect on entry.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190-signal figure (open, not settled). The paper's "190 qualifying indicator signals" denominator was derived from the indicators-only ablation's entry-anchored stop rule, not the OB-gated strategy's own risk rules — two differently-filtered populations. Disclosed as unresolved; do not cite as a settled figure.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AI-assistance disclosure. Every commit that introduced or materially edited the statistics functions carries a `Co-Authored-By: Claude Sonnet 5` trailer. All hypothesis tests are direct, unmodified `scipy.stats` calls; the four custom-math functions (bootstrap, MDE formula since removed, Sharpe/Sortino, max drawdown) implement long-standing textbook formulas (Efron 1979; Sharpe 1966; Sortino &amp; van der Meer 1991) independently assembled from public documentation, not copied from any single paper or repository — verified against `scratch/regression.py`'s golden-master fixtures.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Forward test (unfavorable, reported as-is). 4 out-of-sample trades, 2026-01 to 2026-07, 25.00% win rate, −3.45% total return. This is the only result out-of-sample in both the rule-building sense and the code-checking sense; every prior window either built the rules or was examined while finding the disclosed bug.</w:t>
      </w:r>
    </w:p>
    <w:p>
      <w:pPr>
        <w:spacing w:line="259" w:lineRule="auto" w:before="0" w:after="80"/>
        <w:ind w:left="720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 Return concentration. The three largest trades (+6.6888%, +4.6233%, +4.3634%) sum to +15.6755%, which is 51.7% of the +30.3064% total — profit rests on a few large outcomes, not a steady per-trade edge.</w:t>
      </w:r>
    </w:p>
    <w:p>
      <w:r>
        <w:br w:type="page"/>
      </w:r>
    </w:p>
    <w:p>
      <w:pPr>
        <w:spacing w:line="240" w:lineRule="auto" w:before="120" w:after="120"/>
        <w:jc w:val="left"/>
        <w:pBdr>
          <w:bottom w:val="single" w:sz="6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8"/>
        </w:rPr>
        <w:t>Figure Index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312"/>
        <w:gridCol w:w="3312"/>
        <w:gridCol w:w="3312"/>
      </w:tblGrid>
      <w:tr>
        <w:tc>
          <w:tcPr>
            <w:tcW w:w="1859280" w:type="dxa"/>
            <w:tcW w:type="dxa" w:w="3312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0642800" cy="6010545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2800" cy="601054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Fig. 1 — Formulation / primary-window / forward-test timeline</w:t>
              <w:br/>
              <w:t>(Framework A)</w:t>
            </w:r>
          </w:p>
        </w:tc>
        <w:tc>
          <w:tcPr>
            <w:tcW w:w="1859280" w:type="dxa"/>
            <w:tcW w:type="dxa" w:w="3312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0642800" cy="5509666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2800" cy="550966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Fig. 2 — Data collection and verification sequence</w:t>
              <w:br/>
              <w:t>(Framework B)</w:t>
            </w:r>
          </w:p>
        </w:tc>
        <w:tc>
          <w:tcPr>
            <w:tcW w:w="1859280" w:type="dxa"/>
            <w:tcW w:type="dxa" w:w="3312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0642800" cy="6570533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2800" cy="657053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Fig. 3 — Order Block detection, quality scoring, eligibility</w:t>
              <w:br/>
              <w:t>(Framework D)</w:t>
            </w:r>
          </w:p>
        </w:tc>
      </w:tr>
      <w:tr>
        <w:tc>
          <w:tcPr>
            <w:tcW w:w="1859280" w:type="dxa"/>
            <w:tcW w:type="dxa" w:w="3312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0642800" cy="73918505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2800" cy="739185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Fig. 4 — Long entry decision sequence</w:t>
              <w:br/>
              <w:t>(Framework D, SOP 1)</w:t>
            </w:r>
          </w:p>
        </w:tc>
        <w:tc>
          <w:tcPr>
            <w:tcW w:w="1859280" w:type="dxa"/>
            <w:tcW w:type="dxa" w:w="3312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0642800" cy="5706440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2800" cy="570644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Fig. 5 — Exit priority order</w:t>
              <w:br/>
              <w:t>(Framework D, SOP 1)</w:t>
            </w:r>
          </w:p>
        </w:tc>
        <w:tc>
          <w:tcPr>
            <w:tcW w:w="1859280" w:type="dxa"/>
            <w:tcW w:type="dxa" w:w="3312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0642800" cy="68691944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2800" cy="686919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Fig. 6 — Win rate/significance across cost scenarios</w:t>
              <w:br/>
              <w:t>(SOP 1, Table 4)</w:t>
            </w:r>
          </w:p>
        </w:tc>
      </w:tr>
      <w:tr>
        <w:tc>
          <w:tcPr>
            <w:tcW w:w="1859280" w:type="dxa"/>
            <w:tcW w:type="dxa" w:w="3312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0642800" cy="66545321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2800" cy="665453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Fig. 7 — Three arms grown from $10,000</w:t>
              <w:br/>
              <w:t>(SOP 2, Table 9)</w:t>
            </w:r>
          </w:p>
        </w:tc>
        <w:tc>
          <w:tcPr>
            <w:tcW w:w="1859280" w:type="dxa"/>
            <w:tcW w:type="dxa" w:w="3312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0642800" cy="5116118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2800" cy="511611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Fig. 8 — Risk-adjusted profile across allocations</w:t>
              <w:br/>
              <w:t>(SOP 3, Table 12)</w:t>
            </w:r>
          </w:p>
        </w:tc>
        <w:tc>
          <w:tcPr>
            <w:tcW w:w="1859280" w:type="dxa"/>
            <w:tcW w:type="dxa" w:w="3312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0642800" cy="68691944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9_headline_summa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642800" cy="686919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7"/>
              </w:rPr>
              <w:t>Fig. 9 — Headline numbers at a glance</w:t>
              <w:br/>
              <w:t>(This cheat sheet only)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4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sz w:val="24"/>
      </w:rPr>
      <w:fldChar w:fldCharType="separate"/>
    </w:r>
    <w:r>
      <w:rPr>
        <w:rFonts w:ascii="Times New Roman" w:hAnsi="Times New Roman" w:cs="Times New Roman" w:eastAsia="Times New Roman"/>
        <w:b w:val="0"/>
        <w:i w:val="0"/>
        <w:sz w:val="24"/>
      </w:rPr>
      <w:t>1</w:t>
    </w:r>
    <w:r>
      <w:rPr>
        <w:rFonts w:ascii="Times New Roman" w:hAnsi="Times New Roman" w:cs="Times New Roman" w:eastAsia="Times New Roman"/>
        <w:b w:val="0"/>
        <w:i w:val="0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