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841248" cy="770463"/>
            <wp:effectExtent b="0" l="0" r="0" t="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248" cy="7704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Pedro II, Magalang, Pampanga</w:t>
      </w:r>
    </w:p>
    <w:p w:rsidR="00000000" w:rsidDel="00000000" w:rsidP="00000000" w:rsidRDefault="00000000" w:rsidRPr="00000000" w14:paraId="00000004">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HEDGE: Hedging Erratic-market Dynamics: A Dynamic-KDJ, MACD, and SMC Order Block Strategy Backtested Against DCA on Bitcoin</w:t>
      </w:r>
      <w:r w:rsidDel="00000000" w:rsidR="00000000" w:rsidRPr="00000000">
        <w:rPr>
          <w:rtl w:val="0"/>
        </w:rPr>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8">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Pasok, Charles Gideon T.</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Esguerra, Eireen Joy U.</w:t>
      </w:r>
    </w:p>
    <w:p w:rsidR="00000000" w:rsidDel="00000000" w:rsidP="00000000" w:rsidRDefault="00000000" w:rsidRPr="00000000" w14:paraId="0000000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Valerio, Euan Deign D.</w:t>
      </w:r>
    </w:p>
    <w:p w:rsidR="00000000" w:rsidDel="00000000" w:rsidP="00000000" w:rsidRDefault="00000000" w:rsidRPr="00000000" w14:paraId="0000000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Galang, Blessie M.</w:t>
      </w:r>
    </w:p>
    <w:p w:rsidR="00000000" w:rsidDel="00000000" w:rsidP="00000000" w:rsidRDefault="00000000" w:rsidRPr="00000000" w14:paraId="0000000E">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Aleah G. Sabado, MAEd - Physical Science, LPT</w:t>
      </w:r>
    </w:p>
    <w:p w:rsidR="00000000" w:rsidDel="00000000" w:rsidP="00000000" w:rsidRDefault="00000000" w:rsidRPr="00000000" w14:paraId="0000001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II Teacher</w:t>
      </w:r>
    </w:p>
    <w:p w:rsidR="00000000" w:rsidDel="00000000" w:rsidP="00000000" w:rsidRDefault="00000000" w:rsidRPr="00000000" w14:paraId="00000011">
      <w:pPr>
        <w:spacing w:after="0" w:line="48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Lines w:val="0"/>
        <w:spacing w:after="80" w:line="48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p w:rsidR="00000000" w:rsidDel="00000000" w:rsidP="00000000" w:rsidRDefault="00000000" w:rsidRPr="00000000" w14:paraId="00000013">
      <w:pPr>
        <w:spacing w:after="0" w:line="48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This study tested a Bitcoin trading strategy built from four tools: MACD, the KDJ oscillator, the Average True Range, and Smart Money Concepts Order Blocks. It was compared against what an ordinary person would otherwise do, buy a fixed amount weekly, or buy once and hold. Every rule and parameter was set by eye from BTC/USDT 4-hour charts covering January 2018 to January 2022, then frozen before the tested window was measured. The strategy was run candle by candle over 8,767 four-hour candles from January 2022 to January 2026. It made 27 trades. Win rate was 70.37%, total net return +30.31%, and the one-sided exact binomial p was 0.0261. A bootstrap of 10,000 resamples put the 95% confidence interval on total return at [+5.9866%, +54.9866%], which excludes zero. Charging a realistic 0.20% round-trip cost dropped the win rate to 62.96% and raised p to 0.1239, so the significance did not hold. From an equal $10,000 start, weekly buying reached $22,312.94 against the strategy’s $13,417.77, a clear win on final value, though the strategy held a position only 2.63% of the time. Putting 10%, 20%, and 30% of weekly contributions into the strategy raised Sharpe from 0.556 to 0.637 and Sortino from 0.886 to 1.032, and reduced maximum drawdown from −27.85% to −23.18%. A forward test from January to July 2026 returned −3.45% over four trades. One data-leakage bug was found during checking and fixed. The strategy is a possible add-on to a weekly buying plan over this window, not a replacement.</w:t>
      </w:r>
      <w:r w:rsidDel="00000000" w:rsidR="00000000" w:rsidRPr="00000000">
        <w:rPr>
          <w:rtl w:val="0"/>
        </w:rPr>
      </w:r>
    </w:p>
    <w:p w:rsidR="00000000" w:rsidDel="00000000" w:rsidP="00000000" w:rsidRDefault="00000000" w:rsidRPr="00000000" w14:paraId="0000001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w:t>
      </w:r>
      <w:r w:rsidDel="00000000" w:rsidR="00000000" w:rsidRPr="00000000">
        <w:rPr>
          <w:rFonts w:ascii="Times New Roman" w:cs="Times New Roman" w:eastAsia="Times New Roman" w:hAnsi="Times New Roman"/>
          <w:rtl w:val="0"/>
        </w:rPr>
        <w:t xml:space="preserve"> Bitcoin, algorithmic trading, backtesting, dollar-cost averaging, Smart Money Concepts, technical analysis</w:t>
        <w:br w:type="textWrapping"/>
      </w:r>
    </w:p>
    <w:p w:rsidR="00000000" w:rsidDel="00000000" w:rsidP="00000000" w:rsidRDefault="00000000" w:rsidRPr="00000000" w14:paraId="00000015">
      <w:pPr>
        <w:spacing w:after="480" w:line="480" w:lineRule="auto"/>
        <w:jc w:val="center"/>
        <w:rPr/>
      </w:pPr>
      <w:r w:rsidDel="00000000" w:rsidR="00000000" w:rsidRPr="00000000">
        <w:rPr>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16">
      <w:pPr>
        <w:spacing w:after="480" w:line="480" w:lineRule="auto"/>
        <w:rPr>
          <w:rFonts w:ascii="Times New Roman" w:cs="Times New Roman" w:eastAsia="Times New Roman" w:hAnsi="Times New Roman"/>
        </w:rPr>
      </w:pPr>
      <w:r w:rsidDel="00000000" w:rsidR="00000000" w:rsidRPr="00000000">
        <w:rPr>
          <w:rtl w:val="0"/>
        </w:rPr>
        <w:t xml:space="preserve">Introduction </w:t>
      </w:r>
      <w:r w:rsidDel="00000000" w:rsidR="00000000" w:rsidRPr="00000000">
        <w:rPr>
          <w:rFonts w:ascii="Times New Roman" w:cs="Times New Roman" w:eastAsia="Times New Roman" w:hAnsi="Times New Roman"/>
          <w:rtl w:val="0"/>
        </w:rPr>
        <w:t xml:space="preserve">…………………………………………………………………………………..… 5</w:t>
        <w:br w:type="textWrapping"/>
        <w:t xml:space="preserve">     Rationale ………………………………………………………………………………………5</w:t>
        <w:br w:type="textWrapping"/>
        <w:t xml:space="preserve">     Statement of the Problem ………………………………………………………………….…11</w:t>
        <w:br w:type="textWrapping"/>
        <w:t xml:space="preserve">Framework ………………………………………………………………………………………14</w:t>
        <w:br w:type="textWrapping"/>
        <w:t xml:space="preserve">     Research Design ……………………………………………………………………………...14</w:t>
        <w:br w:type="textWrapping"/>
        <w:t xml:space="preserve">     Materials and Sources ………………………………………………………………………..15</w:t>
        <w:br w:type="textWrapping"/>
        <w:t xml:space="preserve">     Variables ……………………………………………………………………………………...17</w:t>
        <w:br w:type="textWrapping"/>
        <w:t xml:space="preserve">     Strategy Formulas …………………………………………………………………………... 18</w:t>
        <w:br w:type="textWrapping"/>
        <w:t xml:space="preserve">     Portfolio Construction and Contribution Schedule …………………………………………..24</w:t>
        <w:br w:type="textWrapping"/>
        <w:t xml:space="preserve">     Data Analysis…………………………………………………………………………………26</w:t>
        <w:br w:type="textWrapping"/>
        <w:t xml:space="preserve">     Verification and Corrections………………………………………………………………… 30</w:t>
        <w:br w:type="textWrapping"/>
        <w:t xml:space="preserve">Findings …………………………………………………………………………………………32</w:t>
        <w:br w:type="textWrapping"/>
        <w:t xml:space="preserve">     Overall Strategy Performance ………………………………………………………………..32</w:t>
        <w:br w:type="textWrapping"/>
        <w:t xml:space="preserve">     Bootstrap Confidence Interval ……………………………………………………………….33</w:t>
        <w:br w:type="textWrapping"/>
        <w:t xml:space="preserve">     Regime Breakdown and Correlation …………………………………………………………34</w:t>
        <w:br w:type="textWrapping"/>
        <w:t xml:space="preserve">     Strategy Versus Dollar-Cost Averaging and Lump-Sum Buy-and-Hold …………………….35</w:t>
        <w:br w:type="textWrapping"/>
        <w:t xml:space="preserve">     Transaction-Cost Sensitivity …………………………………………………………………38</w:t>
        <w:br w:type="textWrapping"/>
        <w:t xml:space="preserve">     Out-of-Sample and Extended-History Validation ……………………………………………39</w:t>
        <w:br w:type="textWrapping"/>
        <w:t xml:space="preserve">Conclusions ……………………………………………………………………………………...41</w:t>
        <w:br w:type="textWrapping"/>
        <w:t xml:space="preserve">     Discussion of Findings ……………………………………………………………………….41</w:t>
        <w:br w:type="textWrapping"/>
        <w:t xml:space="preserve">     Limitations …………………………………………………………………………………...43</w:t>
        <w:br w:type="textWrapping"/>
        <w:t xml:space="preserve">     Summary and Conclusion ……………………………………………………………………44</w:t>
      </w:r>
    </w:p>
    <w:p w:rsidR="00000000" w:rsidDel="00000000" w:rsidP="00000000" w:rsidRDefault="00000000" w:rsidRPr="00000000" w14:paraId="00000017">
      <w:pPr>
        <w:tabs>
          <w:tab w:val="right" w:leader="none" w:pos="9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……………………………………………………………………………………….46</w:t>
        <w:br w:type="textWrapping"/>
        <w:t xml:space="preserve">Appendix A ……………………………………………………………………………………...50</w:t>
        <w:br w:type="textWrapping"/>
        <w:t xml:space="preserve">     Statistical Provenance of Every Reported Number ………………………………………….50</w:t>
        <w:br w:type="textWrapping"/>
        <w:t xml:space="preserve">     Source Form of Every Formula Written for This Study ……………………………………..53</w:t>
        <w:br w:type="textWrapping"/>
        <w:t xml:space="preserve">     Statement on Software Authorship …………………………………………………………..55</w:t>
        <w:br w:type="textWrapping"/>
        <w:t xml:space="preserve">Appendix D ……………………………………………………………………………………...56</w:t>
        <w:br w:type="textWrapping"/>
        <w:t xml:space="preserve">     Complete Trade Log for the Primary Window ………………………………………………56</w:t>
        <w:br w:type="textWrapping"/>
        <w:t xml:space="preserve">Appendix E ……………………………………………………………………………………...58</w:t>
        <w:br w:type="textWrapping"/>
        <w:t xml:space="preserve">     Recomputing Every Number by Hand ……………………………………………………….58</w:t>
      </w:r>
    </w:p>
    <w:p w:rsidR="00000000" w:rsidDel="00000000" w:rsidP="00000000" w:rsidRDefault="00000000" w:rsidRPr="00000000" w14:paraId="00000018">
      <w:pPr>
        <w:tabs>
          <w:tab w:val="right" w:leader="none" w:pos="9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tabs>
          <w:tab w:val="right" w:leader="none" w:pos="9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right" w:leader="none" w:pos="9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tabs>
          <w:tab w:val="right" w:leader="none" w:pos="9360"/>
        </w:tabs>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tabs>
          <w:tab w:val="right" w:leader="none" w:pos="9360"/>
        </w:tabs>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4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4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keepLines w:val="0"/>
        <w:spacing w:after="80" w:line="48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20">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Rationale</w:t>
      </w:r>
      <w:r w:rsidDel="00000000" w:rsidR="00000000" w:rsidRPr="00000000">
        <w:rPr>
          <w:rtl w:val="0"/>
        </w:rPr>
      </w:r>
    </w:p>
    <w:p w:rsidR="00000000" w:rsidDel="00000000" w:rsidP="00000000" w:rsidRDefault="00000000" w:rsidRPr="00000000" w14:paraId="0000002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has moved online over the past thirty years. Faster internet, cheaper phones, and digital payments have closed much of the distance between ordinary people and financial services. The World Bank surveyed 123 economies and found that 76 percent of adults held a formal financial account by 2021, up from 51 percent in 2011. Most of that growth came from mobile money and e-wallets in developing countries (Demirgüç-Kunt et al., 2022). For many people these tools are not an addition to banking. They are the only banking they have.</w:t>
      </w:r>
    </w:p>
    <w:p w:rsidR="00000000" w:rsidDel="00000000" w:rsidP="00000000" w:rsidRDefault="00000000" w:rsidRPr="00000000" w14:paraId="000000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Cryptocurrency is one of the largest products of this shift. A cryptocurrency is a digital asset whose ownership is recorded on a blockchain, a shared public ledger kept by many computers instead of one bank. Decentralized exchanges let people trade these assets directly, with no bank or broker in between. All a person needs is a phone and an internet connection (Schär, 2021). The Philippines shows the change clearly. Account ownership among Filipino adults rose from 29 percent in 2019 to 56 percent in 2021, driven mostly by e-money accounts, which rose from 8 percent to 36 percent (Bangko Sentral ng Pilipinas, 2022). In places like Magalang, Pampanga, where bank branches are few, crypto platforms are often a person’s first door into global markets.</w:t>
      </w:r>
    </w:p>
    <w:p w:rsidR="00000000" w:rsidDel="00000000" w:rsidP="00000000" w:rsidRDefault="00000000" w:rsidRPr="00000000" w14:paraId="000000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launched in 2009 as the first fully decentralized cryptocurrency and is still the most traded by value and volume (Nakamoto, 2008). What matters to a trader is how violently its price moves. It trades every hour of every day. It has no circuit breakers to pause it when prices move too fast. News, rules, and public mood all hit the price with no brake (Eom et al., 2018). A normal currency has a central bank behind it. A stock has company earnings behind it. Bitcoin has neither. Its price comes mostly from what buyers and sellers believe, which makes its swings larger than those of traditional assets (Katsiampa, 2017). Bitcoin itself appeared after the 2008 financial crisis damaged trust in centralized institutions (Bibi, 2023). Returns also vary by time of day and day of week, which gives systematic traders openings that stock markets do not (Baur et al., 2017).</w:t>
      </w:r>
    </w:p>
    <w:p w:rsidR="00000000" w:rsidDel="00000000" w:rsidP="00000000" w:rsidRDefault="00000000" w:rsidRPr="00000000" w14:paraId="000000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volatility is both the main risk and the main opportunity. When a very large buyer or seller pushes price hard in one direction, it leaves a mark on the chart. There is usually a price area where the large position was built before the move began. Market microstructure research — the study of how orders reach a market and move its price — calls these areas Order Blocks (Bessembinder et al., 2009). Studies of order flow show that large participants split big orders into pieces and time them, which affects both resting orders and short-term direction (Brolley &amp; Cimon, 2020; Díaz &amp; Escribano, 2020). Smart Money Concepts, the trading framework this study borrows from, rests on the same ideas (Biais et al., 2005). The strategy here waits for price to return to one of these areas, checks whether the pullback is losing strength, and if so enters a trade, sizes its risk to current volatility, and exits when momentum fades.</w:t>
      </w:r>
    </w:p>
    <w:p w:rsidR="00000000" w:rsidDel="00000000" w:rsidP="00000000" w:rsidRDefault="00000000" w:rsidRPr="00000000" w14:paraId="000000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Bitcoin trades non-stop and reacts fast to sentiment, company fundamentals are of little use for short-term decisions (Bergsli et al., 2022; Wen et al., 2019). Traders use technical analysis instead: forecasting price from past price and volume (Svogun &amp; Bazán-Palomino, 2022). It rests on two ideas. Price already reflects what the market knows, and people repeat their behaviour, so chart patterns recur (Fang et al., 2014). Technical rules have been shown to carry real predictive value in liquid crypto markets over short horizons (Corbet et al., 2019).</w:t>
      </w:r>
    </w:p>
    <w:p w:rsidR="00000000" w:rsidDel="00000000" w:rsidP="00000000" w:rsidRDefault="00000000" w:rsidRPr="00000000" w14:paraId="000000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combines three families of tools. Each answers a different question about the same price series: which way price is likely to move, how hard it is moving, and where the large participants have already acted.</w:t>
      </w:r>
    </w:p>
    <w:p w:rsidR="00000000" w:rsidDel="00000000" w:rsidP="00000000" w:rsidRDefault="00000000" w:rsidRPr="00000000" w14:paraId="0000002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MACD, short for Moving Average Convergence Divergence. A moving average is the average price over the last several candles, recalculated as each new candle arrives. MACD compares a fast moving average against a slow one and plots the gap between them as a histogram, showing whether the force behind a move is building or fading (Chong &amp; Ng, 2008). MACD does not predict a reversal; it reports current momentum. A twelve-year study of the Philippine stock market found a MACD strategy produced measurable results there (Navarro &amp; Navarro, 2023), and a longer test on the London Stock Exchange found the same (Chong &amp; Ng, 2008). Here the slope of the histogram is the momentum check. Below zero but rising means selling pressure is weakening, which favours a long entry — a bet that price will rise. Above zero but falling means buying pressure is weakening, which favours a short entry — a bet that price will fall.</w:t>
      </w:r>
    </w:p>
    <w:p w:rsidR="00000000" w:rsidDel="00000000" w:rsidP="00000000" w:rsidRDefault="00000000" w:rsidRPr="00000000" w14:paraId="0000002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is the KDJ oscillator. An oscillator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KDJ indicators have been found to carry significant predictive power for returns and to beat simple moving-average systems in some conditions (Dai et al., 2020), and the oscillator is widely used as an early warning of a reversal (Lv et al., 2017).</w:t>
      </w:r>
    </w:p>
    <w:p w:rsidR="00000000" w:rsidDel="00000000" w:rsidP="00000000" w:rsidRDefault="00000000" w:rsidRPr="00000000" w14:paraId="000000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two separate KDJ calculations, and telling them apart matters, because confusing them is the most common misunderstanding about the strategy. The first is one fixed nine-period KDJ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It was never as short as two candles. This ties exit timing to the structure that caused the trade while keeping the entry decision on a fixed footing.</w:t>
      </w:r>
    </w:p>
    <w:p w:rsidR="00000000" w:rsidDel="00000000" w:rsidP="00000000" w:rsidRDefault="00000000" w:rsidRPr="00000000" w14:paraId="000000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tool measures how hard price is moving rather than which way. The Average True Range, introduced by Wilder (1978), fills that gap. True range is the largest of three quantities: the current high minus the current low, the gap from the current high to the previous close, or the gap from the current low to the previous close. ATR averages that over a window. It has no bullish or bearish opinion; it only measures movement. Here a 14-period ATR sets the stop-loss distance (how far price may move against a trade before it closes automatically) plus the trailing exit and one profit-taking exit. A 200-period ATR gives a long-run volatility baseline used to filter market conditions and judge Order Blocks. Two windows mean risk settings scale with current conditions instead of sitting at fixed levels, which is what Wilder intended.</w:t>
      </w:r>
    </w:p>
    <w:p w:rsidR="00000000" w:rsidDel="00000000" w:rsidP="00000000" w:rsidRDefault="00000000" w:rsidRPr="00000000" w14:paraId="000000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three tools accounts for the influence of very large participants. Smart Money Concepts addresses this by reading raw price structure for institutional footprints instead of statistical averages. Its premise, from market microstructure theory, is that large entities engineer price moves to reach pools of resting orders and fill large positions before reversing (Bessembinder et al., 2009). Order Blocks are detected here at two levels, one with a 50-candle lookback for larger swings and one with a 5-candle lookback for smaller structure. Each is then judged against five quality criteria: displacement, a large origin candle, a Fair Value Gap, a liquidity sweep, and volume expansion. Section D of the Framework defines each one. The five are scored as separate true-or-false flags, not combined into a ranked score, and the baseline reported here uses a threshold of zero, so no Order Block is excluded by score.</w:t>
      </w:r>
    </w:p>
    <w:p w:rsidR="00000000" w:rsidDel="00000000" w:rsidP="00000000" w:rsidRDefault="00000000" w:rsidRPr="00000000" w14:paraId="000000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has tested MACD, KDJ, and other technical rules alone or in partial combinations (Chong &amp; Ng, 2008; Corbet et al., 2019; Lv et al., 2017). No published study combines MACD momentum confirmation, an adaptive KDJ exit, a dual-ATR risk framework, and Order Block detection in one backtest on cryptocurrency, and then measures the result against the passive options an ordinary participant would otherwise use. This study fills that gap.</w:t>
      </w:r>
    </w:p>
    <w:p w:rsidR="00000000" w:rsidDel="00000000" w:rsidP="00000000" w:rsidRDefault="00000000" w:rsidRPr="00000000" w14:paraId="000000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strategy is only interesting next to what a person would otherwise do. For most retail participants the realistic alternative is not another algorithm. It is dollar-cost averaging — buying a fixed amount on a fixed schedule regardless of price — or one lump-sum purchase held without further action. Dollar-cost averaging is the default in the recurring-buy feature of most exchanges and savings apps.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does not test the strategy alone. It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rsidR="00000000" w:rsidDel="00000000" w:rsidP="00000000" w:rsidRDefault="00000000" w:rsidRPr="00000000" w14:paraId="000000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 Both windows appear side by side in the Findings so the difference is visible instead of asserted. The Limitations section states what this separation does and does not prove.</w:t>
      </w:r>
    </w:p>
    <w:p w:rsidR="00000000" w:rsidDel="00000000" w:rsidP="00000000" w:rsidRDefault="00000000" w:rsidRPr="00000000" w14:paraId="000000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further contribution matters as much as the strategy. A backtest can be internally consistent, precise to many decimals, and still wrong. The error can sit in the boundary between what a rule may see and when it may see it, or in how a correct result is later summarized. Both kinds of error are silent. A backtest that accidentally reads one candle into the future looks exactly as credible as a correct one until someone checks. This study therefore treats verification as part of the research, not as private housekeeping. Every implementation error found is reported, with the result before and after the fix. Every surviving result is then stress-tested against realistic costs, against passive alternatives, and against data that came after the code was finished. Several of those tests are unfavourable, and they are reported as they came out. The contribution is a worked example of how to audit a strategy like this, not a claim about how much money it makes.</w:t>
      </w:r>
    </w:p>
    <w:p w:rsidR="00000000" w:rsidDel="00000000" w:rsidP="00000000" w:rsidRDefault="00000000" w:rsidRPr="00000000" w14:paraId="000000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also matters locally. For Magalang, Pampanga, and similar communities, crypto markets are an accessible entry point into global finance (Schär, 2021). As digital payment infrastructure reaches places banks never served, reproducible research on algorithmic trading supports evidence-based participation instead of pure speculation. The work supports United Nations Sustainable Development Goal 8, on inclusive economic growth, by turning market participation into transparent, repeatable rules, and Goal 11, on inclusive and resilient communities, by contributing to the digital financial infrastructure residents use (United Nations, 2015). Everything here is built from publicly available data and open-source tools, so it can be replicated anywhere.</w:t>
      </w:r>
    </w:p>
    <w:p w:rsidR="00000000" w:rsidDel="00000000" w:rsidP="00000000" w:rsidRDefault="00000000" w:rsidRPr="00000000" w14:paraId="00000031">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is hard to forecast over short horizons. It trades 24 hours a day, moves sharply, and reacts to large institutional order flow, so ordinary analysis often misses directional signals before they appear. MACD and KDJ have shown predictive value on their own (Chong &amp; Ng, 2008; Dai et al., 2020; Wu &amp; Diao, 2015). What has not been tested systematically is what happens when those momentum tools are combined with volatility-based risk management and Order Block detection, and, just as important, how the result holds up against the passive options an ordinary participant would otherwise use. This study backtests a rule-based strategy combining MACD, KDJ, ATR, and scored Order Block detection on 4-hour BTC/USDT data, and benchmarks it against weekly dollar-cost averaging and lump-sum buy-and-hold. The rules were built by eye from January 2018 to January 2022 and are reported here on the separate January 1, 2022 to January 1, 2026 window.</w:t>
      </w:r>
    </w:p>
    <w:p w:rsidR="00000000" w:rsidDel="00000000" w:rsidP="00000000" w:rsidRDefault="00000000" w:rsidRPr="00000000" w14:paraId="0000003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finding is then checked further, against realistic trading costs and against data that came after the code was finished. Those checks are reported whether or not they favour the strategy.</w:t>
      </w:r>
    </w:p>
    <w:p w:rsidR="00000000" w:rsidDel="00000000" w:rsidP="00000000" w:rsidRDefault="00000000" w:rsidRPr="00000000" w14:paraId="000000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seeks to answer:</w:t>
      </w:r>
    </w:p>
    <w:p w:rsidR="00000000" w:rsidDel="00000000" w:rsidP="00000000" w:rsidRDefault="00000000" w:rsidRPr="00000000" w14:paraId="00000035">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effectively does the combined MACD, KDJ, ATR, and Smart Money Concepts strategy predict short-term Bitcoin price movements, as measured by win rate, total net return, and average return per trade?</w:t>
      </w:r>
    </w:p>
    <w:p w:rsidR="00000000" w:rsidDel="00000000" w:rsidP="00000000" w:rsidRDefault="00000000" w:rsidRPr="00000000" w14:paraId="00000036">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Sortino ratio, maximum drawdown, and time in market?</w:t>
      </w:r>
    </w:p>
    <w:p w:rsidR="00000000" w:rsidDel="00000000" w:rsidP="00000000" w:rsidRDefault="00000000" w:rsidRPr="00000000" w14:paraId="00000037">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Does directing a share of new weekly contributions into the strategy improve the risk-adjusted profile of an otherwise ordinary Bitcoin dollar-cost-averaging plan, and if so, how does that improvement behave as the allocated share rises?</w:t>
      </w:r>
    </w:p>
    <w:p w:rsidR="00000000" w:rsidDel="00000000" w:rsidP="00000000" w:rsidRDefault="00000000" w:rsidRPr="00000000" w14:paraId="00000038">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Hypotheses</w:t>
      </w:r>
      <w:r w:rsidDel="00000000" w:rsidR="00000000" w:rsidRPr="00000000">
        <w:rPr>
          <w:rtl w:val="0"/>
        </w:rPr>
      </w:r>
    </w:p>
    <w:p w:rsidR="00000000" w:rsidDel="00000000" w:rsidP="00000000" w:rsidRDefault="00000000" w:rsidRPr="00000000" w14:paraId="0000003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H₀₁:</w:t>
      </w:r>
      <w:r w:rsidDel="00000000" w:rsidR="00000000" w:rsidRPr="00000000">
        <w:rPr>
          <w:rFonts w:ascii="Times New Roman" w:cs="Times New Roman" w:eastAsia="Times New Roman" w:hAnsi="Times New Roman"/>
          <w:rtl w:val="0"/>
        </w:rPr>
        <w:t xml:space="preserve"> The combined strategy does not produce a statistically significant win rate above 50% on BTC/USDT 4-hour data across all market conditions over a broad temporal scope.</w:t>
      </w:r>
    </w:p>
    <w:p w:rsidR="00000000" w:rsidDel="00000000" w:rsidP="00000000" w:rsidRDefault="00000000" w:rsidRPr="00000000" w14:paraId="0000003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H₁₁:</w:t>
      </w:r>
      <w:r w:rsidDel="00000000" w:rsidR="00000000" w:rsidRPr="00000000">
        <w:rPr>
          <w:rFonts w:ascii="Times New Roman" w:cs="Times New Roman" w:eastAsia="Times New Roman" w:hAnsi="Times New Roman"/>
          <w:rtl w:val="0"/>
        </w:rPr>
        <w:t xml:space="preserve"> The combined strategy produces a statistically significant win rate above 50% on BTC/USDT 4-hour data across all market conditions over a broad temporal scope.</w:t>
      </w:r>
    </w:p>
    <w:p w:rsidR="00000000" w:rsidDel="00000000" w:rsidP="00000000" w:rsidRDefault="00000000" w:rsidRPr="00000000" w14:paraId="000000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this pair asks whether the strategy wins more often than a coin flip by a margin too large to be luck. It is tested with a one-sided exact binomial test, specified in Section F.</w:t>
      </w:r>
    </w:p>
    <w:p w:rsidR="00000000" w:rsidDel="00000000" w:rsidP="00000000" w:rsidRDefault="00000000" w:rsidRPr="00000000" w14:paraId="0000003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H₀₂:</w:t>
      </w:r>
      <w:r w:rsidDel="00000000" w:rsidR="00000000" w:rsidRPr="00000000">
        <w:rPr>
          <w:rFonts w:ascii="Times New Roman" w:cs="Times New Roman" w:eastAsia="Times New Roman" w:hAnsi="Times New Roman"/>
          <w:rtl w:val="0"/>
        </w:rPr>
        <w:t xml:space="preserve"> Blending a strategy allocation into a Bitcoin dollar-cost-averaging plan does not improve that plan’s risk-adjusted profile, as measured by the Sharpe ratio, the Sortino ratio, and maximum drawdown, relative to a plan held entirely in dollar-cost-averaged Bitcoin.</w:t>
      </w:r>
    </w:p>
    <w:p w:rsidR="00000000" w:rsidDel="00000000" w:rsidP="00000000" w:rsidRDefault="00000000" w:rsidRPr="00000000" w14:paraId="0000003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H₁₂:</w:t>
      </w:r>
      <w:r w:rsidDel="00000000" w:rsidR="00000000" w:rsidRPr="00000000">
        <w:rPr>
          <w:rFonts w:ascii="Times New Roman" w:cs="Times New Roman" w:eastAsia="Times New Roman" w:hAnsi="Times New Roman"/>
          <w:rtl w:val="0"/>
        </w:rPr>
        <w:t xml:space="preserve"> Blending a strategy allocation into a Bitcoin dollar-cost-averaging plan improves that plan’s risk-adjusted profile on all three of those measures relative to a plan held entirely in dollar-cost-averaged Bitcoin.</w:t>
      </w:r>
    </w:p>
    <w:p w:rsidR="00000000" w:rsidDel="00000000" w:rsidP="00000000" w:rsidRDefault="00000000" w:rsidRPr="00000000" w14:paraId="0000003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pair is stated formally so the direction of the claim is fixed before the numbers are seen. How it is judged is also fixed here. Sharpe, Sortino, and maximum drawdown are each computed from one realized price path, so each is a single observation, not a sample. There is no sampling distribution behind them, so no p-value can honestly be formed. The pair is therefore settled descriptively: by whether all three measures move in the predicted direction consistently as the allocated share rises. That is a weaker standard than a significance test and is treated as one throughout. It is evidence about one historical window, not a claim about future ones.</w:t>
      </w:r>
    </w:p>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Lines w:val="0"/>
        <w:spacing w:after="80" w:line="48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41">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stages. First the strategy is backtested. Then every surviving result is stress-tested against trading costs, against passive benchmarks, and against data that came after the code was finished.</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historical backtest, not a live trading system. No parameter was fitted, swept, or optimized against the outcome being measured.</w:t>
      </w:r>
    </w:p>
    <w:p w:rsidR="00000000" w:rsidDel="00000000" w:rsidP="00000000" w:rsidRDefault="00000000" w:rsidRPr="00000000" w14:paraId="0000004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Separating the build period from the tested window.</w:t>
      </w:r>
      <w:r w:rsidDel="00000000" w:rsidR="00000000" w:rsidRPr="00000000">
        <w:rPr>
          <w:rFonts w:ascii="Times New Roman" w:cs="Times New Roman" w:eastAsia="Times New Roman" w:hAnsi="Times New Roman"/>
          <w:rtl w:val="0"/>
        </w:rPr>
        <w:t xml:space="preserve"> The rules, parameters, and thresholds were set by eye from BTC/USDT charts covering January 2018 to January 2022, drawing on prior trading experience. That period was examined visually only. No search, sweep, or optimizer was run against it, and no value was adjusted to improve a measured outcome. The primary findings come from January 2022 to January 2026. A third and stricter test uses January 2026 to July 2026, which came after every change to the code. Figure 1 shows how the three periods relate.</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has two limits, stated plainly. First, the build period was inspected by eye, not fitted numerically, so the rules carry whatever bias visual pattern recognition introduces. The strength of the separation cannot be measured the way a held-out split in a machine-learning study can. Second, the 2022 to 2026 window is out-of-sample for rule building but not for code checking, because the bug in Section G was found and fixed while examining that same window. Only the January to July 2026 test is out-of-sample in both senses.</w:t>
      </w:r>
    </w:p>
    <w:p w:rsidR="00000000" w:rsidDel="00000000" w:rsidP="00000000" w:rsidRDefault="00000000" w:rsidRPr="00000000" w14:paraId="0000004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48">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49">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5943600" cy="2247900"/>
            <wp:effectExtent b="0" l="0" r="0" t="0"/>
            <wp:docPr id="4" name="image4.png"/>
            <a:graphic>
              <a:graphicData uri="http://schemas.openxmlformats.org/drawingml/2006/picture">
                <pic:pic>
                  <pic:nvPicPr>
                    <pic:cNvPr id="0" name="image4.png"/>
                    <pic:cNvPicPr preferRelativeResize="0"/>
                  </pic:nvPicPr>
                  <pic:blipFill>
                    <a:blip r:embed="rId7"/>
                    <a:srcRect b="0" l="0" r="4340" t="7769"/>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4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BTC/USDT 4-hour candlestick data (Binance, via API).</w:t>
      </w:r>
      <w:r w:rsidDel="00000000" w:rsidR="00000000" w:rsidRPr="00000000">
        <w:rPr>
          <w:rFonts w:ascii="Times New Roman" w:cs="Times New Roman" w:eastAsia="Times New Roman" w:hAnsi="Times New Roman"/>
          <w:rtl w:val="0"/>
        </w:rPr>
        <w:t xml:space="preserve"> Open, high, low, close, and volume were pulled from the Binance get_klines endpoint for BTCUSDT at 4-hour resolution, in batches of 1,000 candles. Millisecond timestamps were converted to datetimes and shifted forward eight hours, so all stored timestamps are UTC+8. Every timestamp in this paper follows that convention. Figure 2 shows the full collection and verification sequence, including the candle-count arithmetic.</w:t>
      </w:r>
    </w:p>
    <w:p w:rsidR="00000000" w:rsidDel="00000000" w:rsidP="00000000" w:rsidRDefault="00000000" w:rsidRPr="00000000" w14:paraId="0000004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4D">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4E">
      <w:pPr>
        <w:spacing w:after="12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runs from 2022-01-01 08:00:00 to 2026-01-01 08:00:00. That is exactly 1,461 days: 365 + 365 + 366 + 365, with the 366 covering the 2024 leap day. At six 4-hour candles a day, 1,461 × 6 = 8,766 intervals. The final candle is stored as a row rather than used only as an upper boundary, so the file holds 8,766 + 1 = 8,767 rows. A gap check found only one unique time difference between consecutive candles, four hours, with no duplicate timestamps. No candle is missing.</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2018 to 2022 build window holds 8,750 rows against the 8,767 expected under the same counting. That is seventeen candles missing across eight exchange outages, the largest a seven-candle gap. This is disclosed for completeness. It does not affect any figure from the primary window, which is verified complete.</w:t>
      </w:r>
    </w:p>
    <w:p w:rsidR="00000000" w:rsidDel="00000000" w:rsidP="00000000" w:rsidRDefault="00000000" w:rsidRPr="00000000" w14:paraId="0000005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 3 environment.</w:t>
      </w:r>
      <w:r w:rsidDel="00000000" w:rsidR="00000000" w:rsidRPr="00000000">
        <w:rPr>
          <w:rFonts w:ascii="Times New Roman" w:cs="Times New Roman" w:eastAsia="Times New Roman" w:hAnsi="Times New Roman"/>
          <w:rtl w:val="0"/>
        </w:rPr>
        <w:t xml:space="preserve"> Backtesting logic was implemented using pandas, numpy, python-binance, and gspread with oauth2client.</w:t>
      </w:r>
    </w:p>
    <w:p w:rsidR="00000000" w:rsidDel="00000000" w:rsidP="00000000" w:rsidRDefault="00000000" w:rsidRPr="00000000" w14:paraId="0000005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SciPy.</w:t>
      </w:r>
      <w:r w:rsidDel="00000000" w:rsidR="00000000" w:rsidRPr="00000000">
        <w:rPr>
          <w:rFonts w:ascii="Times New Roman" w:cs="Times New Roman" w:eastAsia="Times New Roman" w:hAnsi="Times New Roman"/>
          <w:rtl w:val="0"/>
        </w:rPr>
        <w:t xml:space="preserve"> A free, open-source scientific computing library for Python, widely used in published research (Virtanen et al., 2020). Every standard textbook test in this paper is an unmodified call into scipy.stats.</w:t>
      </w:r>
    </w:p>
    <w:p w:rsidR="00000000" w:rsidDel="00000000" w:rsidP="00000000" w:rsidRDefault="00000000" w:rsidRPr="00000000" w14:paraId="0000005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Google Sheets and SQL database.</w:t>
      </w:r>
      <w:r w:rsidDel="00000000" w:rsidR="00000000" w:rsidRPr="00000000">
        <w:rPr>
          <w:rFonts w:ascii="Times New Roman" w:cs="Times New Roman" w:eastAsia="Times New Roman" w:hAnsi="Times New Roman"/>
          <w:rtl w:val="0"/>
        </w:rPr>
        <w:t xml:space="preserve"> Simulation results were exported to Google Sheets and to a local SQL database, including per-trade records.</w:t>
      </w:r>
    </w:p>
    <w:p w:rsidR="00000000" w:rsidDel="00000000" w:rsidP="00000000" w:rsidRDefault="00000000" w:rsidRPr="00000000" w14:paraId="0000005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LuxAlgo Smart Money Concepts indicator (LuxAlgo, 2022).</w:t>
      </w:r>
      <w:r w:rsidDel="00000000" w:rsidR="00000000" w:rsidRPr="00000000">
        <w:rPr>
          <w:rFonts w:ascii="Times New Roman" w:cs="Times New Roman" w:eastAsia="Times New Roman" w:hAnsi="Times New Roman"/>
          <w:rtl w:val="0"/>
        </w:rPr>
        <w:t xml:space="preserve"> Order Block detection is a Python translation of the LuxAlgo indicator for TradingView, using a 50-candle swing pivot lookback and a 5-candle internal pivot lookback.</w:t>
      </w:r>
    </w:p>
    <w:p w:rsidR="00000000" w:rsidDel="00000000" w:rsidP="00000000" w:rsidRDefault="00000000" w:rsidRPr="00000000" w14:paraId="0000005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Average True Range (Wilder, 1978).</w:t>
      </w:r>
      <w:r w:rsidDel="00000000" w:rsidR="00000000" w:rsidRPr="00000000">
        <w:rPr>
          <w:rFonts w:ascii="Times New Roman" w:cs="Times New Roman" w:eastAsia="Times New Roman" w:hAnsi="Times New Roman"/>
          <w:rtl w:val="0"/>
        </w:rPr>
        <w:t xml:space="preserve"> True range follows Wilder’s definition. Both ATR windows use a plain rolling mean, not Wilder’s original exponential smoothing. That is what the code does and what this paper reports.</w:t>
      </w:r>
    </w:p>
    <w:p w:rsidR="00000000" w:rsidDel="00000000" w:rsidP="00000000" w:rsidRDefault="00000000" w:rsidRPr="00000000" w14:paraId="0000005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Web-based verification dashboard.</w:t>
      </w:r>
      <w:r w:rsidDel="00000000" w:rsidR="00000000" w:rsidRPr="00000000">
        <w:rPr>
          <w:rFonts w:ascii="Times New Roman" w:cs="Times New Roman" w:eastAsia="Times New Roman" w:hAnsi="Times New Roman"/>
          <w:rtl w:val="0"/>
        </w:rPr>
        <w:t xml:space="preserve"> A separately written JavaScript dashboard recomputes the indicator and entry-condition layer in the browser, as a cross-check from a second codebase. Its scope is limited on purpose: it does not detect Order Blocks, Fair Value Gaps, or liquidity sweeps on its own, and it never imports any value from the Python analysis. That independence is what makes the cross-check worth anything, and it is why the two bootstrap intervals in the Findings are kept separate instead of merged.</w:t>
      </w:r>
    </w:p>
    <w:p w:rsidR="00000000" w:rsidDel="00000000" w:rsidP="00000000" w:rsidRDefault="00000000" w:rsidRPr="00000000" w14:paraId="00000058">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5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Independent variable.</w:t>
      </w:r>
      <w:r w:rsidDel="00000000" w:rsidR="00000000" w:rsidRPr="00000000">
        <w:rPr>
          <w:rFonts w:ascii="Times New Roman" w:cs="Times New Roman" w:eastAsia="Times New Roman" w:hAnsi="Times New Roman"/>
          <w:rtl w:val="0"/>
        </w:rPr>
        <w:t xml:space="preserve"> How capital is allocated over one identical stretch of price history. Six levels: the Order-Block-gated strategy alone; weekly dollar-cost averaging into Bitcoin; one lump-sum purchase held to the end; and three blends putting 10%, 20%, and 30% of new weekly contributions into the strategy with the rest dollar-cost averaged. The 0% blend is the same arm as pure weekly averaging and appears as the blended model’s baseline row.</w:t>
      </w:r>
    </w:p>
    <w:p w:rsidR="00000000" w:rsidDel="00000000" w:rsidP="00000000" w:rsidRDefault="00000000" w:rsidRPr="00000000" w14:paraId="0000005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Dependent variables.</w:t>
      </w:r>
      <w:r w:rsidDel="00000000" w:rsidR="00000000" w:rsidRPr="00000000">
        <w:rPr>
          <w:rFonts w:ascii="Times New Roman" w:cs="Times New Roman" w:eastAsia="Times New Roman" w:hAnsi="Times New Roman"/>
          <w:rtl w:val="0"/>
        </w:rPr>
        <w:t xml:space="preserve"> For the strategy’s own trades: win rate (the share of closed trades with a positive net return), total net return, average return per trade, and return concentration (how much of total return comes from a few trades). For the comparison against passive options: total return and final capital from a fixed start, annualized Sharpe, annualized Sortino, maximum drawdown, and time in market (the share of candles with an open position).</w:t>
      </w:r>
    </w:p>
    <w:p w:rsidR="00000000" w:rsidDel="00000000" w:rsidP="00000000" w:rsidRDefault="00000000" w:rsidRPr="00000000" w14:paraId="0000005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Controlled variables.</w:t>
      </w:r>
      <w:r w:rsidDel="00000000" w:rsidR="00000000" w:rsidRPr="00000000">
        <w:rPr>
          <w:rFonts w:ascii="Times New Roman" w:cs="Times New Roman" w:eastAsia="Times New Roman" w:hAnsi="Times New Roman"/>
          <w:rtl w:val="0"/>
        </w:rPr>
        <w:t xml:space="preserve">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 All strategy parameters were fixed before backtesting and none was tuned against the reported data.</w:t>
      </w:r>
    </w:p>
    <w:p w:rsidR="00000000" w:rsidDel="00000000" w:rsidP="00000000" w:rsidRDefault="00000000" w:rsidRPr="00000000" w14:paraId="0000005C">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5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5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MACD (12, 26, 9).</w:t>
      </w:r>
      <w:r w:rsidDel="00000000" w:rsidR="00000000" w:rsidRPr="00000000">
        <w:rPr>
          <w:rFonts w:ascii="Times New Roman" w:cs="Times New Roman" w:eastAsia="Times New Roman" w:hAnsi="Times New Roman"/>
          <w:rtl w:val="0"/>
        </w:rPr>
        <w:t xml:space="preserve"> Momentum confirmation comes from the gap between a fast and a slow exponential moving average. Every value uses only past and present candles.</w:t>
      </w:r>
    </w:p>
    <w:p w:rsidR="00000000" w:rsidDel="00000000" w:rsidP="00000000" w:rsidRDefault="00000000" w:rsidRPr="00000000" w14:paraId="0000005F">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EMA₁₂(t) = C_t × (2/13) + EMA₁₂(t−1) × (1 − 2/13)</m:t>
        </m:r>
      </m:oMath>
      <w:r w:rsidDel="00000000" w:rsidR="00000000" w:rsidRPr="00000000">
        <w:rPr>
          <w:rtl w:val="0"/>
        </w:rPr>
      </w:r>
    </w:p>
    <w:p w:rsidR="00000000" w:rsidDel="00000000" w:rsidP="00000000" w:rsidRDefault="00000000" w:rsidRPr="00000000" w14:paraId="00000060">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EMA₂₆(t) = C_t × (2/27) + EMA₂₆(t−1) × (1 − 2/27)</m:t>
        </m:r>
      </m:oMath>
      <w:r w:rsidDel="00000000" w:rsidR="00000000" w:rsidRPr="00000000">
        <w:rPr>
          <w:rtl w:val="0"/>
        </w:rPr>
      </w:r>
    </w:p>
    <w:p w:rsidR="00000000" w:rsidDel="00000000" w:rsidP="00000000" w:rsidRDefault="00000000" w:rsidRPr="00000000" w14:paraId="00000061">
      <w:pPr>
        <w:spacing w:after="120" w:before="120" w:line="480" w:lineRule="auto"/>
        <w:jc w:val="center"/>
        <w:rPr>
          <w:rFonts w:ascii="Times New Roman" w:cs="Times New Roman" w:eastAsia="Times New Roman" w:hAnsi="Times New Roman"/>
        </w:rPr>
      </w:pPr>
      <m:oMath/>
      <m:oMath>
        <m:r>
          <w:rPr>
            <w:rFonts w:ascii="Times New Roman" w:cs="Times New Roman" w:eastAsia="Times New Roman" w:hAnsi="Times New Roman"/>
          </w:rPr>
          <m:t xml:space="preserve">MACD_t = EMA₁₂(t) − EMA₂₆(t)</m:t>
        </m:r>
      </m:oMath>
      <w:r w:rsidDel="00000000" w:rsidR="00000000" w:rsidRPr="00000000">
        <w:rPr>
          <w:rtl w:val="0"/>
        </w:rPr>
      </w:r>
    </w:p>
    <w:p w:rsidR="00000000" w:rsidDel="00000000" w:rsidP="00000000" w:rsidRDefault="00000000" w:rsidRPr="00000000" w14:paraId="00000062">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Signal_t = MACD_t × (2/10) + Signal_{t−1} × (1 − 2/10)</m:t>
        </m:r>
      </m:oMath>
      <w:r w:rsidDel="00000000" w:rsidR="00000000" w:rsidRPr="00000000">
        <w:rPr>
          <w:rtl w:val="0"/>
        </w:rPr>
      </w:r>
    </w:p>
    <w:p w:rsidR="00000000" w:rsidDel="00000000" w:rsidP="00000000" w:rsidRDefault="00000000" w:rsidRPr="00000000" w14:paraId="00000063">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Hist_t = MACD_t − Signal_t</m:t>
        </m:r>
      </m:oMath>
      <w:r w:rsidDel="00000000" w:rsidR="00000000" w:rsidRPr="00000000">
        <w:rPr>
          <w:rtl w:val="0"/>
        </w:rPr>
      </w:r>
    </w:p>
    <w:p w:rsidR="00000000" w:rsidDel="00000000" w:rsidP="00000000" w:rsidRDefault="00000000" w:rsidRPr="00000000" w14:paraId="0000006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ATR (14) and ATR (200).</w:t>
      </w:r>
      <w:r w:rsidDel="00000000" w:rsidR="00000000" w:rsidRPr="00000000">
        <w:rPr>
          <w:rFonts w:ascii="Times New Roman" w:cs="Times New Roman" w:eastAsia="Times New Roman" w:hAnsi="Times New Roman"/>
          <w:rtl w:val="0"/>
        </w:rPr>
        <w:t xml:space="preserve"> True range measures how far price travelled on a candle. ATR averages it.</w:t>
      </w:r>
    </w:p>
    <w:p w:rsidR="00000000" w:rsidDel="00000000" w:rsidP="00000000" w:rsidRDefault="00000000" w:rsidRPr="00000000" w14:paraId="00000065">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TR_t = max( H_t − L_t , |H_t − C_{t−1}| , |L_t − C_{t−1}| )</m:t>
        </m:r>
      </m:oMath>
      <w:r w:rsidDel="00000000" w:rsidR="00000000" w:rsidRPr="00000000">
        <w:rPr>
          <w:rtl w:val="0"/>
        </w:rPr>
      </w:r>
    </w:p>
    <w:p w:rsidR="00000000" w:rsidDel="00000000" w:rsidP="00000000" w:rsidRDefault="00000000" w:rsidRPr="00000000" w14:paraId="00000066">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ATR₁₄(t) = (1/14) × Σ TR_{t−i} for i = 0 to 13</m:t>
        </m:r>
      </m:oMath>
      <w:r w:rsidDel="00000000" w:rsidR="00000000" w:rsidRPr="00000000">
        <w:rPr>
          <w:rtl w:val="0"/>
        </w:rPr>
      </w:r>
    </w:p>
    <w:p w:rsidR="00000000" w:rsidDel="00000000" w:rsidP="00000000" w:rsidRDefault="00000000" w:rsidRPr="00000000" w14:paraId="00000067">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ATR₂₀₀(t) = (1/200) × Σ TR_{t−i} for i = 0 to 199</m:t>
        </m:r>
      </m:oMath>
      <w:r w:rsidDel="00000000" w:rsidR="00000000" w:rsidRPr="00000000">
        <w:rPr>
          <w:rtl w:val="0"/>
        </w:rPr>
      </w:r>
    </w:p>
    <w:p w:rsidR="00000000" w:rsidDel="00000000" w:rsidP="00000000" w:rsidRDefault="00000000" w:rsidRPr="00000000" w14:paraId="0000006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6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KDJ (9, 3, 3), the fixed entry gate.</w:t>
      </w:r>
      <w:r w:rsidDel="00000000" w:rsidR="00000000" w:rsidRPr="00000000">
        <w:rPr>
          <w:rFonts w:ascii="Times New Roman" w:cs="Times New Roman" w:eastAsia="Times New Roman" w:hAnsi="Times New Roman"/>
          <w:rtl w:val="0"/>
        </w:rPr>
        <w:t xml:space="preserve"> Computed once over the whole dataset. It does not vary from trade to trade.</w:t>
      </w:r>
    </w:p>
    <w:p w:rsidR="00000000" w:rsidDel="00000000" w:rsidP="00000000" w:rsidRDefault="00000000" w:rsidRPr="00000000" w14:paraId="0000006A">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RSV_t = [ (C_t − min L over the last 9 candles) / (max H over the last 9 candles − min L over the last 9 candles) ] × 100</m:t>
        </m:r>
      </m:oMath>
      <w:r w:rsidDel="00000000" w:rsidR="00000000" w:rsidRPr="00000000">
        <w:rPr>
          <w:rtl w:val="0"/>
        </w:rPr>
      </w:r>
    </w:p>
    <w:p w:rsidR="00000000" w:rsidDel="00000000" w:rsidP="00000000" w:rsidRDefault="00000000" w:rsidRPr="00000000" w14:paraId="0000006B">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K_t = (2/3) K_{t−1} + (1/3) RSV_t</m:t>
        </m:r>
      </m:oMath>
      <m:oMath>
        <m:r>
          <w:rPr>
            <w:rFonts w:ascii="Times New Roman" w:cs="Times New Roman" w:eastAsia="Times New Roman" w:hAnsi="Times New Roman"/>
          </w:rPr>
          <m:t xml:space="preserve">D_t = (2/3) D_{t−1} + (1/3) K_t</m:t>
        </m:r>
      </m:oMath>
      <w:r w:rsidDel="00000000" w:rsidR="00000000" w:rsidRPr="00000000">
        <w:rPr>
          <w:rtl w:val="0"/>
        </w:rPr>
      </w:r>
    </w:p>
    <w:p w:rsidR="00000000" w:rsidDel="00000000" w:rsidP="00000000" w:rsidRDefault="00000000" w:rsidRPr="00000000" w14:paraId="0000006C">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J_t = 3K_t − 2D_t</m:t>
        </m:r>
      </m:oMath>
      <w:r w:rsidDel="00000000" w:rsidR="00000000" w:rsidRPr="00000000">
        <w:rPr>
          <w:rtl w:val="0"/>
        </w:rPr>
      </w:r>
    </w:p>
    <w:p w:rsidR="00000000" w:rsidDel="00000000" w:rsidP="00000000" w:rsidRDefault="00000000" w:rsidRPr="00000000" w14:paraId="0000006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K, D, and J reference inside the entry conditions reads this fixed series at the current candle.</w:t>
      </w:r>
    </w:p>
    <w:p w:rsidR="00000000" w:rsidDel="00000000" w:rsidP="00000000" w:rsidRDefault="00000000" w:rsidRPr="00000000" w14:paraId="0000006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KDJ, the adaptive exit series.</w:t>
      </w:r>
      <w:r w:rsidDel="00000000" w:rsidR="00000000" w:rsidRPr="00000000">
        <w:rPr>
          <w:rFonts w:ascii="Times New Roman" w:cs="Times New Roman" w:eastAsia="Times New Roman" w:hAnsi="Times New Roman"/>
          <w:rtl w:val="0"/>
        </w:rPr>
        <w:t xml:space="preserve"> A second system that exists only to time one exit signal after a trade is open. It never shares state with the series above. At entry it is seeded from the fixed series’ K and D at the entry candle, and its window length is set once and held for the life of that trade:</w:t>
      </w:r>
    </w:p>
    <w:p w:rsidR="00000000" w:rsidDel="00000000" w:rsidP="00000000" w:rsidRDefault="00000000" w:rsidRPr="00000000" w14:paraId="0000006F">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w = max( 1 , entry_idx − ob_bar )</m:t>
        </m:r>
      </m:oMath>
      <w:r w:rsidDel="00000000" w:rsidR="00000000" w:rsidRPr="00000000">
        <w:rPr>
          <w:rtl w:val="0"/>
        </w:rPr>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each later candle a Raw Stochastic Value is recomputed over a rolling window of length w, and K and D are updated with the same one-third smoothing:</w:t>
      </w:r>
    </w:p>
    <w:p w:rsidR="00000000" w:rsidDel="00000000" w:rsidP="00000000" w:rsidRDefault="00000000" w:rsidRPr="00000000" w14:paraId="00000071">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RSV_custom = [ (C_cur − min L over the window) / (max H over the window − min L over the window) ] × 100</m:t>
        </m:r>
      </m:oMath>
      <w:r w:rsidDel="00000000" w:rsidR="00000000" w:rsidRPr="00000000">
        <w:rPr>
          <w:rtl w:val="0"/>
        </w:rPr>
      </w:r>
    </w:p>
    <w:p w:rsidR="00000000" w:rsidDel="00000000" w:rsidP="00000000" w:rsidRDefault="00000000" w:rsidRPr="00000000" w14:paraId="00000072">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K_cur = (2/3) K_prev + (1/3) RSV_custom     D_cur = (2/3) D_prev + (1/3) K_cur</m:t>
        </m:r>
      </m:oMath>
      <w:r w:rsidDel="00000000" w:rsidR="00000000" w:rsidRPr="00000000">
        <w:rPr>
          <w:rtl w:val="0"/>
        </w:rPr>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 w ranged from 14 to 439 candles, with a median of 74. It was never as short as two candles. Only w varies between trades; the entry gate never does. These are two separate systems by design, and confusing them is the most common misunderstanding about the strategy.</w:t>
      </w:r>
    </w:p>
    <w:p w:rsidR="00000000" w:rsidDel="00000000" w:rsidP="00000000" w:rsidRDefault="00000000" w:rsidRPr="00000000" w14:paraId="0000007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 Block detection.</w:t>
      </w:r>
      <w:r w:rsidDel="00000000" w:rsidR="00000000" w:rsidRPr="00000000">
        <w:rPr>
          <w:rFonts w:ascii="Times New Roman" w:cs="Times New Roman" w:eastAsia="Times New Roman" w:hAnsi="Times New Roman"/>
          <w:rtl w:val="0"/>
        </w:rPr>
        <w:t xml:space="preserve"> Two independent structural passes run over the same price series, one with a 5-candle pivot lookback for internal structure and one with a 50-candle lookback for swing structure. Figure 3 sets out the detection and scoring sequence.</w:t>
      </w:r>
    </w:p>
    <w:p w:rsidR="00000000" w:rsidDel="00000000" w:rsidP="00000000" w:rsidRDefault="00000000" w:rsidRPr="00000000" w14:paraId="00000075">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76">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77">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In each pass a candle at pb = i − size is confirmed as a pivot high only by right-side comparison: the high at pb must exceed every high from pb + 1 through i. A pivot low is the mirror. No future candle is read. A break of structure is flagged when price closes across a tracked pivot level, and an Order Block is created from the price segment between the pivot candle and the crossover candle i. Two indices are kept separate on purpose: ob_idx is the candle holding the Order Block’s own extreme, and created_at is the candle where the breakout closes. An Order Block cannot trigger an entry until strictly after created_at. Order Blocks expire after 500 candles, or once price closes back through their boundary.</w:t>
      </w:r>
      <w:r w:rsidDel="00000000" w:rsidR="00000000" w:rsidRPr="00000000">
        <w:rPr>
          <w:rtl w:val="0"/>
        </w:rPr>
      </w:r>
    </w:p>
    <w:p w:rsidR="00000000" w:rsidDel="00000000" w:rsidP="00000000" w:rsidRDefault="00000000" w:rsidRPr="00000000" w14:paraId="0000007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 Block quality criteria.</w:t>
      </w:r>
      <w:r w:rsidDel="00000000" w:rsidR="00000000" w:rsidRPr="00000000">
        <w:rPr>
          <w:rFonts w:ascii="Times New Roman" w:cs="Times New Roman" w:eastAsia="Times New Roman" w:hAnsi="Times New Roman"/>
          <w:rtl w:val="0"/>
        </w:rPr>
        <w:t xml:space="preserve"> Each Order Block is scored on five separate true-or-false criteria. Their sum, 0 to 5, is used only as an entry-eligibility threshold. The baseline reported here uses a threshold of 0, so no Order Block is excluded by score.</w:t>
      </w:r>
    </w:p>
    <w:p w:rsidR="00000000" w:rsidDel="00000000" w:rsidP="00000000" w:rsidRDefault="00000000" w:rsidRPr="00000000" w14:paraId="0000007A">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measured at the Order Block’s candle, occurs in the Order Block’s direction.</w:t>
      </w:r>
    </w:p>
    <w:p w:rsidR="00000000" w:rsidDel="00000000" w:rsidP="00000000" w:rsidRDefault="00000000" w:rsidRPr="00000000" w14:paraId="0000007B">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Origin Candle: the high minus the low of candle i is at least ATR₂₀₀ at i, meaning the Order Block’s own candle is at least as tall as the long-run average candle.</w:t>
      </w:r>
    </w:p>
    <w:p w:rsidR="00000000" w:rsidDel="00000000" w:rsidP="00000000" w:rsidRDefault="00000000" w:rsidRPr="00000000" w14:paraId="0000007C">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condition is that the low of candle j + 2 exceeds the high of candle j; for a supply block the mirror condition holds.</w:t>
      </w:r>
    </w:p>
    <w:p w:rsidR="00000000" w:rsidDel="00000000" w:rsidP="00000000" w:rsidRDefault="00000000" w:rsidRPr="00000000" w14:paraId="0000007D">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candle i is at or below the minimum low over the prior ten candles for a demand block, or the high of candle i is at or above the maximum high over the prior ten candles for a supply block.</w:t>
      </w:r>
    </w:p>
    <w:p w:rsidR="00000000" w:rsidDel="00000000" w:rsidP="00000000" w:rsidRDefault="00000000" w:rsidRPr="00000000" w14:paraId="0000007E">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candle i is at least 1.25 times the mean volume over the prior twenty candles, or the candle body exceeds 60% of the candle’s own high-to-low range.</w:t>
      </w:r>
    </w:p>
    <w:p w:rsidR="00000000" w:rsidDel="00000000" w:rsidP="00000000" w:rsidRDefault="00000000" w:rsidRPr="00000000" w14:paraId="0000007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8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Fixed parameters.</w:t>
      </w:r>
      <w:r w:rsidDel="00000000" w:rsidR="00000000" w:rsidRPr="00000000">
        <w:rPr>
          <w:rFonts w:ascii="Times New Roman" w:cs="Times New Roman" w:eastAsia="Times New Roman" w:hAnsi="Times New Roman"/>
          <w:rtl w:val="0"/>
        </w:rPr>
        <w:t xml:space="preserve"> Every value below was set before, and independently of, the analysis reported here.</w:t>
      </w:r>
    </w:p>
    <w:p w:rsidR="00000000" w:rsidDel="00000000" w:rsidP="00000000" w:rsidRDefault="00000000" w:rsidRPr="00000000" w14:paraId="00000081">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82">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p w:rsidR="00000000" w:rsidDel="00000000" w:rsidP="00000000" w:rsidRDefault="00000000" w:rsidRPr="00000000" w14:paraId="00000083">
      <w:pPr>
        <w:spacing w:after="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5200"/>
        <w:gridCol w:w="4160"/>
        <w:tblGridChange w:id="0">
          <w:tblGrid>
            <w:gridCol w:w="5200"/>
            <w:gridCol w:w="41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9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value in this table was set during the 2018 to 2022 formulation period described in Section A and was never adjusted afterwards.</w:t>
      </w:r>
      <w:r w:rsidDel="00000000" w:rsidR="00000000" w:rsidRPr="00000000">
        <w:rPr>
          <w:rtl w:val="0"/>
        </w:rPr>
      </w:r>
    </w:p>
    <w:p w:rsidR="00000000" w:rsidDel="00000000" w:rsidP="00000000" w:rsidRDefault="00000000" w:rsidRPr="00000000" w14:paraId="0000009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conditions.</w:t>
      </w:r>
      <w:r w:rsidDel="00000000" w:rsidR="00000000" w:rsidRPr="00000000">
        <w:rPr>
          <w:rFonts w:ascii="Times New Roman" w:cs="Times New Roman" w:eastAsia="Times New Roman" w:hAnsi="Times New Roman"/>
          <w:rtl w:val="0"/>
        </w:rPr>
        <w:t xml:space="preserve"> A long entry needs all six conditions in Figure 4 to hold at the same candle close. A short entry is the mirror against a supply Order Block, with K above 70 and J at or below 100.</w:t>
      </w:r>
    </w:p>
    <w:p w:rsidR="00000000" w:rsidDel="00000000" w:rsidP="00000000" w:rsidRDefault="00000000" w:rsidRPr="00000000" w14:paraId="0000009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9F">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A0">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401" cy="3597622"/>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17401" cy="359762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conditions.</w:t>
      </w:r>
      <w:r w:rsidDel="00000000" w:rsidR="00000000" w:rsidRPr="00000000">
        <w:rPr>
          <w:rFonts w:ascii="Times New Roman" w:cs="Times New Roman" w:eastAsia="Times New Roman" w:hAnsi="Times New Roman"/>
          <w:rtl w:val="0"/>
        </w:rPr>
        <w:t xml:space="preserve"> Exits are checked on every candle in the fixed order shown in Figure 5. The first condition met triggers the exit; the rest are not checked for that candle. The four exit types are the hard stop-loss, the ATR-move take-profit, the trailing exit, and the KDJ-reset exit.</w:t>
      </w:r>
    </w:p>
    <w:p w:rsidR="00000000" w:rsidDel="00000000" w:rsidP="00000000" w:rsidRDefault="00000000" w:rsidRPr="00000000" w14:paraId="000000A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A3">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A4">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A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the full construction of every comparison arm, so a reader can rebuild Tables 6 through 9 by hand.</w:t>
      </w:r>
    </w:p>
    <w:p w:rsidR="00000000" w:rsidDel="00000000" w:rsidP="00000000" w:rsidRDefault="00000000" w:rsidRPr="00000000" w14:paraId="000000A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Shared timing rule.</w:t>
      </w:r>
      <w:r w:rsidDel="00000000" w:rsidR="00000000" w:rsidRPr="00000000">
        <w:rPr>
          <w:rFonts w:ascii="Times New Roman" w:cs="Times New Roman" w:eastAsia="Times New Roman" w:hAnsi="Times New Roman"/>
          <w:rtl w:val="0"/>
        </w:rPr>
        <w:t xml:space="preserve"> A contribution lands on the first bar of every ISO calendar week and buys at that bar’s close. The blended model and the head-to-head averaging arm both use this rule, so the two cannot drift apart. The primary window, 2022-01-01 08:00 to 2026-01-01 08:00 in UTC+8, holds 210 such weeks. The 2018 to 2022 window holds 209.</w:t>
      </w:r>
    </w:p>
    <w:p w:rsidR="00000000" w:rsidDel="00000000" w:rsidP="00000000" w:rsidRDefault="00000000" w:rsidRPr="00000000" w14:paraId="000000A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Head-to-head arms.</w:t>
      </w:r>
      <w:r w:rsidDel="00000000" w:rsidR="00000000" w:rsidRPr="00000000">
        <w:rPr>
          <w:rFonts w:ascii="Times New Roman" w:cs="Times New Roman" w:eastAsia="Times New Roman" w:hAnsi="Times New Roman"/>
          <w:rtl w:val="0"/>
        </w:rPr>
        <w:t xml:space="preserve"> Each starts from $10,000, and these are the arms reported in Tables 7, 8, and 9.</w:t>
      </w:r>
    </w:p>
    <w:p w:rsidR="00000000" w:rsidDel="00000000" w:rsidP="00000000" w:rsidRDefault="00000000" w:rsidRPr="00000000" w14:paraId="000000A9">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strategy arm holds the full $10,000 in cash from the first bar and compounds only at each trade exit bar, by that trade’s percentage return. Each trade commits the full amount; positions are unlevered and never partly sized. Between trades the arm sits in cash and earns nothing. Returns are measured per 4-hour bar and annualized with m = 6 × 365.25 = 2,191.5.</w:t>
      </w:r>
    </w:p>
    <w:p w:rsidR="00000000" w:rsidDel="00000000" w:rsidP="00000000" w:rsidRDefault="00000000" w:rsidRPr="00000000" w14:paraId="000000AA">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averaging arm contributes $10,000 ÷ 210 = $47.6190 per week, or $10,000 ÷ 209 = $47.8469 in the 2018 window, buying at each contribution bar’s close. Value at any bar is units held times the current close. Period returns are measured only at contribution bars, net of that week’s own contribution, so new money is never counted as return:</w:t>
      </w:r>
    </w:p>
    <w:p w:rsidR="00000000" w:rsidDel="00000000" w:rsidP="00000000" w:rsidRDefault="00000000" w:rsidRPr="00000000" w14:paraId="000000AB">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r_k = ( V_k − C_k ) / V_{k−1} − 1</m:t>
        </m:r>
      </m:oMath>
      <w:r w:rsidDel="00000000" w:rsidR="00000000" w:rsidRPr="00000000">
        <w:rPr>
          <w:rtl w:val="0"/>
        </w:rPr>
      </w:r>
    </w:p>
    <w:p w:rsidR="00000000" w:rsidDel="00000000" w:rsidP="00000000" w:rsidRDefault="00000000" w:rsidRPr="00000000" w14:paraId="000000AC">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arm is annualized with m = 52.</w:t>
      </w:r>
    </w:p>
    <w:p w:rsidR="00000000" w:rsidDel="00000000" w:rsidP="00000000" w:rsidRDefault="00000000" w:rsidRPr="00000000" w14:paraId="000000AD">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lump-sum arm buys the full $10,000 at the first bar’s opening price — note this differs from the averaging arm, which buys at the close — and holds to the last bar’s close. Returns are per 4-hour bar, annualized with m = 2,191.5.</w:t>
      </w:r>
    </w:p>
    <w:p w:rsidR="00000000" w:rsidDel="00000000" w:rsidP="00000000" w:rsidRDefault="00000000" w:rsidRPr="00000000" w14:paraId="000000AE">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net-of-cost version in Table 8, the strategy arm pays a 0.20% round-trip drag taken off each trade’s return. The two passive arms pay a 0.10% one-sided markup on the buy price, since they buy and hold instead of round-tripping.</w:t>
      </w:r>
    </w:p>
    <w:p w:rsidR="00000000" w:rsidDel="00000000" w:rsidP="00000000" w:rsidRDefault="00000000" w:rsidRPr="00000000" w14:paraId="000000A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Blended-sleeve model.</w:t>
      </w:r>
      <w:r w:rsidDel="00000000" w:rsidR="00000000" w:rsidRPr="00000000">
        <w:rPr>
          <w:rFonts w:ascii="Gungsuh" w:cs="Gungsuh" w:eastAsia="Gungsuh" w:hAnsi="Gungsuh"/>
          <w:rtl w:val="0"/>
        </w:rPr>
        <w:t xml:space="preserve"> Contributions here are 1.0 relative unit per week across 210 weeks, not dollars. Table 6 therefore has no dollar column and should not be read against the $10,000 used elsewhere. In the 100% / 0% baseline the full 1.0 unit buys Bitcoin at that bar’s close. At a strategy share f of 0.10, 0.20, or 0.30, the remaining (1 − f) buys Bitcoin and f goes into a strategy sleeve held as cash. That sleeve compounds by each trade’s return at the trade’s exit bar and is never moved back into Bitcoin. Portfolio value at any bar is Bitcoin units times the close, plus the sleeve’s cash. Period returns are measured at the 210 contribution bars, net of that week’s contribution, using the same formula as the averaging arm, annualized with m = 52. Maximum drawdown in Table 6 includes principal and is computed on the portfolio value series at contribution bars.</w:t>
      </w:r>
      <w:r w:rsidDel="00000000" w:rsidR="00000000" w:rsidRPr="00000000">
        <w:rPr>
          <w:rtl w:val="0"/>
        </w:rPr>
      </w:r>
    </w:p>
    <w:p w:rsidR="00000000" w:rsidDel="00000000" w:rsidP="00000000" w:rsidRDefault="00000000" w:rsidRPr="00000000" w14:paraId="000000B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check worth stating.</w:t>
      </w:r>
      <w:r w:rsidDel="00000000" w:rsidR="00000000" w:rsidRPr="00000000">
        <w:rPr>
          <w:rFonts w:ascii="Gungsuh" w:cs="Gungsuh" w:eastAsia="Gungsuh" w:hAnsi="Gungsuh"/>
          <w:rtl w:val="0"/>
        </w:rPr>
        <w:t xml:space="preserve"> Table 6’s 100% / 0% row and Table 7’s Weekly DCA row give the same Sharpe of 0.556, the same Sortino of 0.886, and the same maximum drawdown of −27.85%. They agree because both use the same weekly rule. The two tables meeting at their shared point is a free consistency check.</w:t>
      </w:r>
      <w:r w:rsidDel="00000000" w:rsidR="00000000" w:rsidRPr="00000000">
        <w:rPr>
          <w:rtl w:val="0"/>
        </w:rPr>
      </w:r>
    </w:p>
    <w:p w:rsidR="00000000" w:rsidDel="00000000" w:rsidP="00000000" w:rsidRDefault="00000000" w:rsidRPr="00000000" w14:paraId="000000B1">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B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data analysis.</w:t>
      </w:r>
      <w:r w:rsidDel="00000000" w:rsidR="00000000" w:rsidRPr="00000000">
        <w:rPr>
          <w:rFonts w:ascii="Times New Roman" w:cs="Times New Roman" w:eastAsia="Times New Roman" w:hAnsi="Times New Roman"/>
          <w:rtl w:val="0"/>
        </w:rPr>
        <w:t xml:space="preserve"> The main approach is exploratory data analysis: descriptive statistics, distribution summaries, and table comparison, used to find patterns before drawing conclusions (Tukey, 1977). It suits this case because the backtest output is a finite, fully observed set of trade records with no missing values.</w:t>
      </w:r>
    </w:p>
    <w:p w:rsidR="00000000" w:rsidDel="00000000" w:rsidP="00000000" w:rsidRDefault="00000000" w:rsidRPr="00000000" w14:paraId="000000B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Descriptive statistics.</w:t>
      </w:r>
      <w:r w:rsidDel="00000000" w:rsidR="00000000" w:rsidRPr="00000000">
        <w:rPr>
          <w:rFonts w:ascii="Times New Roman" w:cs="Times New Roman" w:eastAsia="Times New Roman" w:hAnsi="Times New Roman"/>
          <w:rtl w:val="0"/>
        </w:rPr>
        <w:t xml:space="preserve"> Trade count, win rate, net return, average return, and standard deviation.</w:t>
      </w:r>
    </w:p>
    <w:p w:rsidR="00000000" w:rsidDel="00000000" w:rsidP="00000000" w:rsidRDefault="00000000" w:rsidRPr="00000000" w14:paraId="000000B4">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Statistical Software and the Division Between Library and Custom Code</w:t>
      </w:r>
      <w:r w:rsidDel="00000000" w:rsidR="00000000" w:rsidRPr="00000000">
        <w:rPr>
          <w:rtl w:val="0"/>
        </w:rPr>
      </w:r>
    </w:p>
    <w:p w:rsidR="00000000" w:rsidDel="00000000" w:rsidP="00000000" w:rsidRDefault="00000000" w:rsidRPr="00000000" w14:paraId="000000B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statistics were computed in Python 3 using SciPy, a free open-source library (Virtanen et al., 2020). SciPy is maintained by a large public community, its code is open to inspection, and its routines are the same ones used across published quantitative research. Using it means the standard tests here are not this study’s own code, which removes a whole class of possible arithmetic error.</w:t>
      </w:r>
    </w:p>
    <w:p w:rsidR="00000000" w:rsidDel="00000000" w:rsidP="00000000" w:rsidRDefault="00000000" w:rsidRPr="00000000" w14:paraId="000000B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exactly six quantities. Three are unmodified SciPy calls. Three are formulas written for this study, either because no single library function computes them or because they follow this study’s own resampling design. Sharpe, Sortino, and maximum drawdown are descriptive performance measures, not hypothesis tests, and no p-value is attached to any of them anywhere in this paper. Formula numbering runs 1, 2, and 3.</w:t>
      </w:r>
    </w:p>
    <w:p w:rsidR="00000000" w:rsidDel="00000000" w:rsidP="00000000" w:rsidRDefault="00000000" w:rsidRPr="00000000" w14:paraId="000000B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B8">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p w:rsidR="00000000" w:rsidDel="00000000" w:rsidP="00000000" w:rsidRDefault="00000000" w:rsidRPr="00000000" w14:paraId="000000B9">
      <w:pPr>
        <w:spacing w:after="0" w:line="12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400"/>
        <w:gridCol w:w="1500"/>
        <w:gridCol w:w="4460"/>
        <w:tblGridChange w:id="0">
          <w:tblGrid>
            <w:gridCol w:w="3400"/>
            <w:gridCol w:w="1500"/>
            <w:gridCol w:w="44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and Sortino ratios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bl>
    <w:p w:rsidR="00000000" w:rsidDel="00000000" w:rsidP="00000000" w:rsidRDefault="00000000" w:rsidRPr="00000000" w14:paraId="000000CF">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Tests Computed by SciPy</w:t>
      </w:r>
      <w:r w:rsidDel="00000000" w:rsidR="00000000" w:rsidRPr="00000000">
        <w:rPr>
          <w:rtl w:val="0"/>
        </w:rPr>
      </w:r>
    </w:p>
    <w:p w:rsidR="00000000" w:rsidDel="00000000" w:rsidP="00000000" w:rsidRDefault="00000000" w:rsidRPr="00000000" w14:paraId="000000D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One-sided exact binomial test.</w:t>
      </w:r>
      <w:r w:rsidDel="00000000" w:rsidR="00000000" w:rsidRPr="00000000">
        <w:rPr>
          <w:rFonts w:ascii="Times New Roman" w:cs="Times New Roman" w:eastAsia="Times New Roman" w:hAnsi="Times New Roman"/>
          <w:rtl w:val="0"/>
        </w:rPr>
        <w:t xml:space="preserve"> With n closed trades and w winners, and a null win probability of 0.5, the one-sided p-value is the sum, for k from w to n, of n-choose-k times 0.5 to the power n:</w:t>
      </w:r>
    </w:p>
    <w:p w:rsidR="00000000" w:rsidDel="00000000" w:rsidP="00000000" w:rsidRDefault="00000000" w:rsidRPr="00000000" w14:paraId="000000D2">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p_one-sided = Σ_{k=w}^{n} C(n, k) (0.5)^k (0.5)^{n−k} = Σ_{k=w}^{n} C(n, k) (0.5)^n</m:t>
        </m:r>
      </m:oMath>
      <w:r w:rsidDel="00000000" w:rsidR="00000000" w:rsidRPr="00000000">
        <w:rPr>
          <w:rtl w:val="0"/>
        </w:rPr>
      </w:r>
    </w:p>
    <w:p w:rsidR="00000000" w:rsidDel="00000000" w:rsidP="00000000" w:rsidRDefault="00000000" w:rsidRPr="00000000" w14:paraId="000000D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p-value is the chance of a result at least this strong if the strategy had no edge at all. The one-sided form was chosen because the hypothesis is directional: it predicts a win rate above 50%, not just different from 50%. Two-sided values are given for reference.</w:t>
      </w:r>
    </w:p>
    <w:p w:rsidR="00000000" w:rsidDel="00000000" w:rsidP="00000000" w:rsidRDefault="00000000" w:rsidRPr="00000000" w14:paraId="000000D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Correlation.</w:t>
      </w:r>
      <w:r w:rsidDel="00000000" w:rsidR="00000000" w:rsidRPr="00000000">
        <w:rPr>
          <w:rFonts w:ascii="Times New Roman" w:cs="Times New Roman" w:eastAsia="Times New Roman" w:hAnsi="Times New Roman"/>
          <w:rtl w:val="0"/>
        </w:rPr>
        <w:t xml:space="preserve"> Pearson’s r and Spearman’s ρ were computed between how long a trade was held, in candles, and its percentage return. Both measure whether two quantities move together. Pearson assumes a straight-line relationship; Spearman assumes only a consistent direction.</w:t>
      </w:r>
    </w:p>
    <w:p w:rsidR="00000000" w:rsidDel="00000000" w:rsidP="00000000" w:rsidRDefault="00000000" w:rsidRPr="00000000" w14:paraId="000000D5">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Formulas Written for This Study</w:t>
      </w:r>
      <w:r w:rsidDel="00000000" w:rsidR="00000000" w:rsidRPr="00000000">
        <w:rPr>
          <w:rtl w:val="0"/>
        </w:rPr>
      </w:r>
    </w:p>
    <w:p w:rsidR="00000000" w:rsidDel="00000000" w:rsidP="00000000" w:rsidRDefault="00000000" w:rsidRPr="00000000" w14:paraId="000000D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 1. Percentile bootstrap confidence interval.</w:t>
      </w:r>
      <w:r w:rsidDel="00000000" w:rsidR="00000000" w:rsidRPr="00000000">
        <w:rPr>
          <w:rFonts w:ascii="Times New Roman" w:cs="Times New Roman" w:eastAsia="Times New Roman" w:hAnsi="Times New Roman"/>
          <w:rtl w:val="0"/>
        </w:rPr>
        <w:t xml:space="preserve"> Let r₁, r₂, …, r_n be the percentage returns of the n trades. For each of B repetitions, draw n returns from that set at random with replacement — the same trade may be drawn more than once — and record the resample’s total and mean:</w:t>
      </w:r>
    </w:p>
    <w:p w:rsidR="00000000" w:rsidDel="00000000" w:rsidP="00000000" w:rsidRDefault="00000000" w:rsidRPr="00000000" w14:paraId="000000D7">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T^(b) = Σ r_i^(b)     T̄^(b) = (1/n) Σ r_i^(b)     for b = 1, 2, …, B</m:t>
        </m:r>
      </m:oMath>
      <w:r w:rsidDel="00000000" w:rsidR="00000000" w:rsidRPr="00000000">
        <w:rPr>
          <w:rtl w:val="0"/>
        </w:rPr>
      </w:r>
    </w:p>
    <w:p w:rsidR="00000000" w:rsidDel="00000000" w:rsidP="00000000" w:rsidRDefault="00000000" w:rsidRPr="00000000" w14:paraId="000000D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D9">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CI₉₅% = [ Q₂.₅( T^(1), …, T^(B) ) , Q₉₇.₅( T^(1), …, T^(B) ) ]</m:t>
        </m:r>
      </m:oMath>
      <w:r w:rsidDel="00000000" w:rsidR="00000000" w:rsidRPr="00000000">
        <w:rPr>
          <w:rtl w:val="0"/>
        </w:rPr>
      </w:r>
    </w:p>
    <w:p w:rsidR="00000000" w:rsidDel="00000000" w:rsidP="00000000" w:rsidRDefault="00000000" w:rsidRPr="00000000" w14:paraId="000000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Twenty-seven trades is too few, and too skewed by a few large winners, for a normal-theory interval of mean plus or minus 1.96 standard errors to be safe. The bootstrap assumes nothing about the shape of the distribution; it uses the data’s own shape (Efron &amp; Tibshirani, 1993). Drawing with replacement, rather than reshuffling, is what lets a resample’s total differ from the original at all. Drawing exactly n values follows Efron, so the spread between resamples reflects real sampling uncertainty and not a changed sample size. Parameters are B = 10,000, n = 27, and a fixed seed of 42, so the figure is exactly reproducible.</w:t>
      </w:r>
    </w:p>
    <w:p w:rsidR="00000000" w:rsidDel="00000000" w:rsidP="00000000" w:rsidRDefault="00000000" w:rsidRPr="00000000" w14:paraId="000000D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simplification is disclosed. This is the plain percentile bootstrap, not the bias-corrected and accelerated version, which adjusts the cutoffs for skew in the resampling distribution. The plain form is the standard textbook procedure. It is a choice, not the only option.</w:t>
      </w:r>
    </w:p>
    <w:p w:rsidR="00000000" w:rsidDel="00000000" w:rsidP="00000000" w:rsidRDefault="00000000" w:rsidRPr="00000000" w14:paraId="000000D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 2. Maximum drawdown.</w:t>
      </w:r>
      <w:r w:rsidDel="00000000" w:rsidR="00000000" w:rsidRPr="00000000">
        <w:rPr>
          <w:rFonts w:ascii="Times New Roman" w:cs="Times New Roman" w:eastAsia="Times New Roman" w:hAnsi="Times New Roman"/>
          <w:rtl w:val="0"/>
        </w:rPr>
        <w:t xml:space="preserve"> Let E_t be the value of an equity curve at time t. Define the running peak, the percentage decline from that peak, and the worst such decline:</w:t>
      </w:r>
    </w:p>
    <w:p w:rsidR="00000000" w:rsidDel="00000000" w:rsidP="00000000" w:rsidRDefault="00000000" w:rsidRPr="00000000" w14:paraId="000000DD">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P_t = max_{u ≤ t} E_u     DD_t = [ (E_t − P_t) / P_t ] × 100     MDD = min_t DD_t</m:t>
        </m:r>
      </m:oMath>
      <w:r w:rsidDel="00000000" w:rsidR="00000000" w:rsidRPr="00000000">
        <w:rPr>
          <w:rtl w:val="0"/>
        </w:rPr>
      </w:r>
    </w:p>
    <w:p w:rsidR="00000000" w:rsidDel="00000000" w:rsidP="00000000" w:rsidRDefault="00000000" w:rsidRPr="00000000" w14:paraId="000000DE">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Drawdown is a percentage, not dollars, so the three arms can be compared directly even though their equity curves have very different shapes from the same $10,000 start. Tracking the running peak, instead of comparing only the final value to the all-time high, is what catches a fall partway through that later recovers. The strategy’s worst drawdown of −6.46% happens mid-window and would be invisible to a formula that only compared the end value to the highest value.</w:t>
      </w:r>
      <w:r w:rsidDel="00000000" w:rsidR="00000000" w:rsidRPr="00000000">
        <w:rPr>
          <w:rtl w:val="0"/>
        </w:rPr>
      </w:r>
    </w:p>
    <w:p w:rsidR="00000000" w:rsidDel="00000000" w:rsidP="00000000" w:rsidRDefault="00000000" w:rsidRPr="00000000" w14:paraId="000000D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 3. Sharpe and Sortino ratios.</w:t>
      </w:r>
      <w:r w:rsidDel="00000000" w:rsidR="00000000" w:rsidRPr="00000000">
        <w:rPr>
          <w:rFonts w:ascii="Times New Roman" w:cs="Times New Roman" w:eastAsia="Times New Roman" w:hAnsi="Times New Roman"/>
          <w:rtl w:val="0"/>
        </w:rPr>
        <w:t xml:space="preserve"> Let R₁, R₂, …, R_N be an arm’s per-period returns, R̄ their mean, s_R their standard deviation, and m the number of periods in a year for that arm’s own reporting frequency:</w:t>
      </w:r>
    </w:p>
    <w:p w:rsidR="00000000" w:rsidDel="00000000" w:rsidP="00000000" w:rsidRDefault="00000000" w:rsidRPr="00000000" w14:paraId="000000E0">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SR = ( R̄ / s_R ) × √m</m:t>
        </m:r>
      </m:oMath>
      <w:r w:rsidDel="00000000" w:rsidR="00000000" w:rsidRPr="00000000">
        <w:rPr>
          <w:rtl w:val="0"/>
        </w:rPr>
      </w:r>
    </w:p>
    <w:p w:rsidR="00000000" w:rsidDel="00000000" w:rsidP="00000000" w:rsidRDefault="00000000" w:rsidRPr="00000000" w14:paraId="000000E1">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σ_d = √[ (1/N) Σ ( min(R_t, 0) )² ]     SoR = ( R̄ / σ_d ) × √m</m:t>
        </m:r>
      </m:oMath>
      <w:r w:rsidDel="00000000" w:rsidR="00000000" w:rsidRPr="00000000">
        <w:rPr>
          <w:rtl w:val="0"/>
        </w:rPr>
      </w:r>
    </w:p>
    <w:p w:rsidR="00000000" w:rsidDel="00000000" w:rsidP="00000000" w:rsidRDefault="00000000" w:rsidRPr="00000000" w14:paraId="000000E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measures return per unit of overall variability, so a higher value means a smoother ride for the same return (Sharpe, 1994). Sortino counts only downward movement as risk, since an investor does not mind upward surprises (Sortino &amp; van der Meer, 1991). The downside deviation σ_d divides by N, the count of all periods, not just losing ones. That follows the original 1991 definition. A widely copied online tutorial divides by the number of losing periods instead, which inflates the ratio. This study does not use that shortcut.</w:t>
      </w:r>
    </w:p>
    <w:p w:rsidR="00000000" w:rsidDel="00000000" w:rsidP="00000000" w:rsidRDefault="00000000" w:rsidRPr="00000000" w14:paraId="000000E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assumption is disclosed. Both ratios assume a risk-free rate of zero, and Sortino assumes a minimum acceptable return of zero. The code uses raw per-period returns instead of subtracting a benchmark rate first. In full, the general Sharpe formula is</w:t>
      </w:r>
    </w:p>
    <w:p w:rsidR="00000000" w:rsidDel="00000000" w:rsidP="00000000" w:rsidRDefault="00000000" w:rsidRPr="00000000" w14:paraId="000000E4">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SR_general = ( E[ R_a − R_f ] / σ_a ) × √m</m:t>
        </m:r>
      </m:oMath>
      <w:r w:rsidDel="00000000" w:rsidR="00000000" w:rsidRPr="00000000">
        <w:rPr>
          <w:rtl w:val="0"/>
        </w:rPr>
      </w:r>
    </w:p>
    <w:p w:rsidR="00000000" w:rsidDel="00000000" w:rsidP="00000000" w:rsidRDefault="00000000" w:rsidRPr="00000000" w14:paraId="000000E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this study sets R_f = 0. That is defensible for a crypto strategy with no funding-rate component modelled, and every arm is treated the same way, so the ranking between arms does not change. It is still a real deviation from the general formula, so it is stated here.</w:t>
      </w:r>
    </w:p>
    <w:p w:rsidR="00000000" w:rsidDel="00000000" w:rsidP="00000000" w:rsidRDefault="00000000" w:rsidRPr="00000000" w14:paraId="000000E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Additional analyses.</w:t>
      </w:r>
      <w:r w:rsidDel="00000000" w:rsidR="00000000" w:rsidRPr="00000000">
        <w:rPr>
          <w:rFonts w:ascii="Times New Roman" w:cs="Times New Roman" w:eastAsia="Times New Roman" w:hAnsi="Times New Roman"/>
          <w:rtl w:val="0"/>
        </w:rPr>
        <w:t xml:space="preserve"> The headline result was recomputed under six cost scenarios, compared against the two passive alternatives both gross and net of fees, and re-run on data that came after the code was finished. The binomial test is re-run in full on each fee-adjusted trade set, not adjusted from the gross p-value.</w:t>
      </w:r>
    </w:p>
    <w:p w:rsidR="00000000" w:rsidDel="00000000" w:rsidP="00000000" w:rsidRDefault="00000000" w:rsidRPr="00000000" w14:paraId="000000E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reporting.</w:t>
      </w:r>
      <w:r w:rsidDel="00000000" w:rsidR="00000000" w:rsidRPr="00000000">
        <w:rPr>
          <w:rFonts w:ascii="Times New Roman" w:cs="Times New Roman" w:eastAsia="Times New Roman" w:hAnsi="Times New Roman"/>
          <w:rtl w:val="0"/>
        </w:rPr>
        <w:t xml:space="preserve"> All results appear as observed, including non-significant results, unfavourable results, and the bug found during verification.</w:t>
      </w:r>
    </w:p>
    <w:p w:rsidR="00000000" w:rsidDel="00000000" w:rsidP="00000000" w:rsidRDefault="00000000" w:rsidRPr="00000000" w14:paraId="000000E8">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G. Verification and Corrections</w:t>
      </w:r>
      <w:r w:rsidDel="00000000" w:rsidR="00000000" w:rsidRPr="00000000">
        <w:rPr>
          <w:rtl w:val="0"/>
        </w:rPr>
      </w:r>
    </w:p>
    <w:p w:rsidR="00000000" w:rsidDel="00000000" w:rsidP="00000000" w:rsidRDefault="00000000" w:rsidRPr="00000000" w14:paraId="000000E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 criteria could read future data.</w:t>
      </w:r>
      <w:r w:rsidDel="00000000" w:rsidR="00000000" w:rsidRPr="00000000">
        <w:rPr>
          <w:rFonts w:ascii="Times New Roman" w:cs="Times New Roman" w:eastAsia="Times New Roman" w:hAnsi="Times New Roman"/>
          <w:rtl w:val="0"/>
        </w:rPr>
        <w:t xml:space="preserve"> The Fair Value Gap and Displacement search loops were originally bounded by the length of the whole dataset instead of by each Order Block’s own confirmation candle. They could therefore read one or two candles that would not have been available when the Order Block became eligible. This is a real data-leakage bug. A no-lookahead audit found it. The fix bounds both loops at each Order Block’s confirmation candle, with runtime assertions left at those read sites to catch any future regression. The fix does not change the 27-trade baseline in this paper, because that baseline is not affected by quality-score filtering.</w:t>
      </w:r>
    </w:p>
    <w:p w:rsidR="00000000" w:rsidDel="00000000" w:rsidP="00000000" w:rsidRDefault="00000000" w:rsidRPr="00000000" w14:paraId="000000E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more corrections were made in the reporting, not the code. A separate audit checked every headline number against a live companion website and against the committed analysis scripts.</w:t>
      </w:r>
    </w:p>
    <w:p w:rsidR="00000000" w:rsidDel="00000000" w:rsidP="00000000" w:rsidRDefault="00000000" w:rsidRPr="00000000" w14:paraId="000000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was the bootstrap interval. The website uses 2,000 resamples while this paper uses 10,000, giving two correct but visibly different intervals with no stated reason. Both now appear side by side in the Findings. The cause was traced, not assumed: the website’s random number generator, mulberry32, was rewritten in Python and run at 2,000 resamples, which reproduced the website’s interval of [+7.48%, +54.46%] exactly. That proves the gap comes from the resample count alone, not a different method, seed, or trade set. The two are kept separate because the website’s independence is what makes it a useful cross-check.</w:t>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was the correlation p-values. They had been reported as p less than 0.001 when the correct values are about 0.0094 for Pearson and 0.0113 for Spearman. Both are still significant at the usual thresholds, but the original claim overstated them by roughly ten times. Both are corrected here.</w:t>
      </w:r>
    </w:p>
    <w:p w:rsidR="00000000" w:rsidDel="00000000" w:rsidP="00000000" w:rsidRDefault="00000000" w:rsidRPr="00000000" w14:paraId="000000E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No-lookahead verification.</w:t>
      </w:r>
      <w:r w:rsidDel="00000000" w:rsidR="00000000" w:rsidRPr="00000000">
        <w:rPr>
          <w:rFonts w:ascii="Times New Roman" w:cs="Times New Roman" w:eastAsia="Times New Roman" w:hAnsi="Times New Roman"/>
          <w:rtl w:val="0"/>
        </w:rPr>
        <w:t xml:space="preserve"> Truncation-equality testing on the ATR(14), ATR(200), and fixed KDJ(9,3,3) series passed 180 of 180 sampled checks. Recomputing each indicator on a shortened dataset gave exactly the same values, which is what must happen if no future data is used. A scope audit of the fixed Order Block code found no Fair-Value-Gap-true or displacement-true Order Blocks reading past their own confirmation candle.</w:t>
      </w:r>
    </w:p>
    <w:p w:rsidR="00000000" w:rsidDel="00000000" w:rsidP="00000000" w:rsidRDefault="00000000" w:rsidRPr="00000000" w14:paraId="000000E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Reproducibility setup.</w:t>
      </w:r>
      <w:r w:rsidDel="00000000" w:rsidR="00000000" w:rsidRPr="00000000">
        <w:rPr>
          <w:rFonts w:ascii="Times New Roman" w:cs="Times New Roman" w:eastAsia="Times New Roman" w:hAnsi="Times New Roman"/>
          <w:rtl w:val="0"/>
        </w:rPr>
        <w:t xml:space="preserve"> A golden-master regression harness recomputes the indicators and the full simulation from raw candle data and requires exact agreement with committed reference files: indicators to a tolerance of 10⁻⁶, and all 27 trade records exactly. It runs after every code change. The separate JavaScript dashboard gives a second cross-check on the indicator and entry-condition layer.</w:t>
      </w:r>
    </w:p>
    <w:p w:rsidR="00000000" w:rsidDel="00000000" w:rsidP="00000000" w:rsidRDefault="00000000" w:rsidRPr="00000000" w14:paraId="000000EF">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Lines w:val="0"/>
        <w:spacing w:after="80" w:line="48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organized around the three research questions. Five subsections  (overall performance, the bootstrap interval, the regime breakdown, cost sensitivity, and the out-of-sample test) answer the first. The subsection comparing the strategy against weekly averaging and lump-sum buy-and-hold answers the second and third. Appendix A traces every number here to the function that produced it and the data it was given. Appendix E shows how to recompute by hand each number that can be recomputed by hand.</w:t>
      </w:r>
    </w:p>
    <w:p w:rsidR="00000000" w:rsidDel="00000000" w:rsidP="00000000" w:rsidRDefault="00000000" w:rsidRPr="00000000" w14:paraId="000000F2">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Overall Strategy Performance</w:t>
      </w:r>
      <w:r w:rsidDel="00000000" w:rsidR="00000000" w:rsidRPr="00000000">
        <w:rPr>
          <w:rtl w:val="0"/>
        </w:rPr>
      </w:r>
    </w:p>
    <w:p w:rsidR="00000000" w:rsidDel="00000000" w:rsidP="00000000" w:rsidRDefault="00000000" w:rsidRPr="00000000" w14:paraId="000000F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0F4">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p w:rsidR="00000000" w:rsidDel="00000000" w:rsidP="00000000" w:rsidRDefault="00000000" w:rsidRPr="00000000" w14:paraId="000000F5">
      <w:pPr>
        <w:spacing w:after="0" w:line="120"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5200"/>
        <w:gridCol w:w="4160"/>
        <w:tblGridChange w:id="0">
          <w:tblGrid>
            <w:gridCol w:w="5200"/>
            <w:gridCol w:w="41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F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net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0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Computed by binomial_test(), which wraps scipy.stats.binomtest, on 27 trades with 19 wins against a null win probability of 0.5.</w:t>
      </w:r>
      <w:r w:rsidDel="00000000" w:rsidR="00000000" w:rsidRPr="00000000">
        <w:rPr>
          <w:rtl w:val="0"/>
        </w:rPr>
      </w:r>
    </w:p>
    <w:p w:rsidR="00000000" w:rsidDel="00000000" w:rsidP="00000000" w:rsidRDefault="00000000" w:rsidRPr="00000000" w14:paraId="0000010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0A">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P( K ≥ 19 | n = 27, p = 0.5 ) = Σ_{k=19}^{27} C(27, k) (0.5)^{27} = 0.0261</m:t>
        </m:r>
      </m:oMath>
      <w:r w:rsidDel="00000000" w:rsidR="00000000" w:rsidRPr="00000000">
        <w:rPr>
          <w:rtl w:val="0"/>
        </w:rPr>
      </w:r>
    </w:p>
    <w:p w:rsidR="00000000" w:rsidDel="00000000" w:rsidP="00000000" w:rsidRDefault="00000000" w:rsidRPr="00000000" w14:paraId="0000010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below the usual 5% threshold. Before costs, this supports rejecting H₀₁ in favour of H₁₁. In plain terms: if the strategy had no edge, a run this good would happen about 26 times in every 1,000 attempts. That is unlikely enough to take seriously, but not overwhelming, and it rests on only 27 trades. This result does not survive realistic costs, as the cost subsection shows.</w:t>
      </w:r>
    </w:p>
    <w:p w:rsidR="00000000" w:rsidDel="00000000" w:rsidP="00000000" w:rsidRDefault="00000000" w:rsidRPr="00000000" w14:paraId="0000010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paper each trade is named by the candle index where it was entered. In order: 335, 359, 673, 902, 1050, 1158, 1913, 2624, 2859, 3100, 3196, 3859, 3947, 4455, 5800, 5825, 6040, 6109, 6366, 6537, 6991, 7109, 7938, 7964, 8188, 8280, and 8596. “The 27 baseline trades” always means exactly this set. The full per-trade record is Appendix D, Table D1.</w:t>
      </w:r>
    </w:p>
    <w:p w:rsidR="00000000" w:rsidDel="00000000" w:rsidP="00000000" w:rsidRDefault="00000000" w:rsidRPr="00000000" w14:paraId="0000010D">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Bootstrap Confidence Interval</w:t>
      </w:r>
      <w:r w:rsidDel="00000000" w:rsidR="00000000" w:rsidRPr="00000000">
        <w:rPr>
          <w:rtl w:val="0"/>
        </w:rPr>
      </w:r>
    </w:p>
    <w:p w:rsidR="00000000" w:rsidDel="00000000" w:rsidP="00000000" w:rsidRDefault="00000000" w:rsidRPr="00000000" w14:paraId="0000010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bootstrap of 10,000 resamples, drawn at the original sample size of 27 with a fixed seed of 42, gives a point estimate of +30.3065% total net return. That differs from the observed sum of the 27 trade returns, +30.3064%, only in the fourth decimal. The 95% confidence interval is [+5.9866%, +54.9866%]. It is wide but excludes zero, and 99.25% of resampled totals were positive, so 0.75% came out at or below zero. The matching interval for average return per trade is [+0.2217%, +2.0365%].</w:t>
      </w:r>
    </w:p>
    <w:p w:rsidR="00000000" w:rsidDel="00000000" w:rsidP="00000000" w:rsidRDefault="00000000" w:rsidRPr="00000000" w14:paraId="0000010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reshuffle the recorded trades thousands of times and almost every version still makes money, though the amount varies a lot.</w:t>
      </w:r>
    </w:p>
    <w:p w:rsidR="00000000" w:rsidDel="00000000" w:rsidP="00000000" w:rsidRDefault="00000000" w:rsidRPr="00000000" w14:paraId="0000011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companion website recomputes the same bootstrap live in the browser using 2,000 resamples for speed, and lands on a similar but not identical interval, [+7.48%, +54.46%]. That is separate TypeScript code with its own random number generator, mulberry32, which never imports any value from the Python analysis. The gap between the two intervals was traced to the resample count alone. They are kept separate rather than merged, because the website’s independence is what makes the cross-check worth anything.</w:t>
      </w:r>
    </w:p>
    <w:p w:rsidR="00000000" w:rsidDel="00000000" w:rsidP="00000000" w:rsidRDefault="00000000" w:rsidRPr="00000000" w14:paraId="00000111">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Regime Breakdown and Correlation</w:t>
      </w:r>
      <w:r w:rsidDel="00000000" w:rsidR="00000000" w:rsidRPr="00000000">
        <w:rPr>
          <w:rtl w:val="0"/>
        </w:rPr>
      </w:r>
    </w:p>
    <w:p w:rsidR="00000000" w:rsidDel="00000000" w:rsidP="00000000" w:rsidRDefault="00000000" w:rsidRPr="00000000" w14:paraId="000001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Trades were tagged by market condition at entry, using two independent methods. The first is a calendar split: 2022 as bear, 2023 as sideways, 2024 to 2025 as bull.</w:t>
      </w:r>
    </w:p>
    <w:p w:rsidR="00000000" w:rsidDel="00000000" w:rsidP="00000000" w:rsidRDefault="00000000" w:rsidRPr="00000000" w14:paraId="0000011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14">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p w:rsidR="00000000" w:rsidDel="00000000" w:rsidP="00000000" w:rsidRDefault="00000000" w:rsidRPr="00000000" w14:paraId="00000115">
      <w:pPr>
        <w:spacing w:after="0" w:line="12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800"/>
        <w:gridCol w:w="1200"/>
        <w:gridCol w:w="1600"/>
        <w:gridCol w:w="1900"/>
        <w:gridCol w:w="1860"/>
        <w:tblGridChange w:id="0">
          <w:tblGrid>
            <w:gridCol w:w="2800"/>
            <w:gridCol w:w="1200"/>
            <w:gridCol w:w="1600"/>
            <w:gridCol w:w="1900"/>
            <w:gridCol w:w="18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Regime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Trades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Return contribution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Share of total return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Bear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Chop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−5.39%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−17.8%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Bull (2024 to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85.71%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+83.3%</w:t>
            </w:r>
            <w:r w:rsidDel="00000000" w:rsidR="00000000" w:rsidRPr="00000000">
              <w:rPr>
                <w:rtl w:val="0"/>
              </w:rPr>
            </w:r>
          </w:p>
        </w:tc>
      </w:tr>
    </w:tbl>
    <w:p w:rsidR="00000000" w:rsidDel="00000000" w:rsidP="00000000" w:rsidRDefault="00000000" w:rsidRPr="00000000" w14:paraId="0000012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regime rows partition the same 27 baseline trades, so the trade counts sum to 27 and the return contributions sum to +30.31%.</w:t>
      </w:r>
      <w:r w:rsidDel="00000000" w:rsidR="00000000" w:rsidRPr="00000000">
        <w:rPr>
          <w:rtl w:val="0"/>
        </w:rPr>
      </w:r>
    </w:p>
    <w:p w:rsidR="00000000" w:rsidDel="00000000" w:rsidP="00000000" w:rsidRDefault="00000000" w:rsidRPr="00000000" w14:paraId="000001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measures how far price sat below its previous all-time high, starting from Bitcoin’s pre-window high of $69,000 on 2021-11-10. Bear is 40% or more below that high, sideways is between 40% and 12% below, and bull is less than 12% below.</w:t>
      </w:r>
    </w:p>
    <w:p w:rsidR="00000000" w:rsidDel="00000000" w:rsidP="00000000" w:rsidRDefault="00000000" w:rsidRPr="00000000" w14:paraId="0000012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2D">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p w:rsidR="00000000" w:rsidDel="00000000" w:rsidP="00000000" w:rsidRDefault="00000000" w:rsidRPr="00000000" w14:paraId="0000012E">
      <w:pPr>
        <w:spacing w:after="0" w:line="120"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800"/>
        <w:gridCol w:w="1200"/>
        <w:gridCol w:w="1600"/>
        <w:gridCol w:w="1900"/>
        <w:gridCol w:w="1860"/>
        <w:tblGridChange w:id="0">
          <w:tblGrid>
            <w:gridCol w:w="2800"/>
            <w:gridCol w:w="1200"/>
            <w:gridCol w:w="1600"/>
            <w:gridCol w:w="1900"/>
            <w:gridCol w:w="18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2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Regime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Trades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Return contribution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Share of total return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Bear (at or below −40% from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−1.63%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−5.4%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9">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Chop (−40% to −12% from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87.50%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E">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Bull (above −12% from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85.71%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+43.1%</w:t>
            </w:r>
            <w:r w:rsidDel="00000000" w:rsidR="00000000" w:rsidRPr="00000000">
              <w:rPr>
                <w:rtl w:val="0"/>
              </w:rPr>
            </w:r>
          </w:p>
        </w:tc>
      </w:tr>
    </w:tbl>
    <w:p w:rsidR="00000000" w:rsidDel="00000000" w:rsidP="00000000" w:rsidRDefault="00000000" w:rsidRPr="00000000" w14:paraId="00000143">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baseline trades, re-partitioned by a different definition of market regime.</w:t>
      </w:r>
      <w:r w:rsidDel="00000000" w:rsidR="00000000" w:rsidRPr="00000000">
        <w:rPr>
          <w:rtl w:val="0"/>
        </w:rPr>
      </w:r>
    </w:p>
    <w:p w:rsidR="00000000" w:rsidDel="00000000" w:rsidP="00000000" w:rsidRDefault="00000000" w:rsidRPr="00000000" w14:paraId="000001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methods agree on only 13 of the 27 assignments, because they measure different things. Much of 2023 sat 57% to 64% below the all-time high even though price that year was range-bound rather than falling. Both methods still agree on the main point: bull is the strongest regime, at an 85.71% win rate under both. The three largest winning trades, which together make up 51.7% of total net return, do not cluster in one regime under either method.</w:t>
      </w:r>
    </w:p>
    <w:p w:rsidR="00000000" w:rsidDel="00000000" w:rsidP="00000000" w:rsidRDefault="00000000" w:rsidRPr="00000000" w14:paraId="00000145">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Across the same 27 trades, Pearson’s r = +0.4907 with t = 2.82, df = 25, and p ≈ 0.0094. Spearman’s ρ = +0.4797 with p ≈ 0.0113. Both were computed between holding time in candles and percentage return. In plain terms, trades held longer tended to end up larger, and the pattern is strong enough that chance is an unlikely explanation, holding at both the 5% and 1% thresholds.</w:t>
      </w:r>
      <w:r w:rsidDel="00000000" w:rsidR="00000000" w:rsidRPr="00000000">
        <w:rPr>
          <w:rtl w:val="0"/>
        </w:rPr>
      </w:r>
    </w:p>
    <w:p w:rsidR="00000000" w:rsidDel="00000000" w:rsidP="00000000" w:rsidRDefault="00000000" w:rsidRPr="00000000" w14:paraId="00000146">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Strategy Versus Dollar-Cost Averaging and Lump-Sum Buy-and-Hold</w:t>
      </w:r>
      <w:r w:rsidDel="00000000" w:rsidR="00000000" w:rsidRPr="00000000">
        <w:rPr>
          <w:rtl w:val="0"/>
        </w:rPr>
      </w:r>
    </w:p>
    <w:p w:rsidR="00000000" w:rsidDel="00000000" w:rsidP="00000000" w:rsidRDefault="00000000" w:rsidRPr="00000000" w14:paraId="000001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subsection answers the second and third research questions and settles the second hypothesis pair. The blended model comes first, then the head-to-head comparison, because the head-to-head figures are easy to misread alone and the blended model is the frame they should be read in.</w:t>
      </w:r>
    </w:p>
    <w:p w:rsidR="00000000" w:rsidDel="00000000" w:rsidP="00000000" w:rsidRDefault="00000000" w:rsidRPr="00000000" w14:paraId="00000148">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The Blended-Sleeve Model</w:t>
      </w:r>
      <w:r w:rsidDel="00000000" w:rsidR="00000000" w:rsidRPr="00000000">
        <w:rPr>
          <w:rtl w:val="0"/>
        </w:rPr>
      </w:r>
    </w:p>
    <w:p w:rsidR="00000000" w:rsidDel="00000000" w:rsidP="00000000" w:rsidRDefault="00000000" w:rsidRPr="00000000" w14:paraId="0000014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4A">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Portfolio at Increasing Strategy Allocations</w:t>
      </w:r>
      <w:r w:rsidDel="00000000" w:rsidR="00000000" w:rsidRPr="00000000">
        <w:rPr>
          <w:rtl w:val="0"/>
        </w:rPr>
      </w:r>
    </w:p>
    <w:p w:rsidR="00000000" w:rsidDel="00000000" w:rsidP="00000000" w:rsidRDefault="00000000" w:rsidRPr="00000000" w14:paraId="0000014B">
      <w:pPr>
        <w:spacing w:after="0" w:line="120"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000"/>
        <w:gridCol w:w="2200"/>
        <w:gridCol w:w="2200"/>
        <w:gridCol w:w="1960"/>
        <w:tblGridChange w:id="0">
          <w:tblGrid>
            <w:gridCol w:w="3000"/>
            <w:gridCol w:w="2200"/>
            <w:gridCol w:w="2200"/>
            <w:gridCol w:w="19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4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Split (BTC-DCA / Strategy)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Sharpe (annualized)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Sortino (annualized)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Max drawdown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 /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−27.85%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−26.51%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80% /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−24.97%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 /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−23.18%</w:t>
            </w:r>
            <w:r w:rsidDel="00000000" w:rsidR="00000000" w:rsidRPr="00000000">
              <w:rPr>
                <w:rtl w:val="0"/>
              </w:rPr>
            </w:r>
          </w:p>
        </w:tc>
      </w:tr>
    </w:tbl>
    <w:p w:rsidR="00000000" w:rsidDel="00000000" w:rsidP="00000000" w:rsidRDefault="00000000" w:rsidRPr="00000000" w14:paraId="0000016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Computed on the blended equity curve of 210 weekly contributions across the 2022 to 2026 window, under the construction set out in Section E. Both ratios assume a risk-free rate of zero, as disclosed under Formula 3.</w:t>
      </w:r>
      <w:r w:rsidDel="00000000" w:rsidR="00000000" w:rsidRPr="00000000">
        <w:rPr>
          <w:rtl w:val="0"/>
        </w:rPr>
      </w:r>
    </w:p>
    <w:p w:rsidR="00000000" w:rsidDel="00000000" w:rsidP="00000000" w:rsidRDefault="00000000" w:rsidRPr="00000000" w14:paraId="00000161">
      <w:pPr>
        <w:spacing w:after="0" w:line="480" w:lineRule="auto"/>
        <w:ind w:firstLine="720"/>
        <w:jc w:val="both"/>
        <w:rPr>
          <w:rFonts w:ascii="Times New Roman" w:cs="Times New Roman" w:eastAsia="Times New Roman" w:hAnsi="Times New Roman"/>
        </w:rPr>
      </w:pPr>
      <w:r w:rsidDel="00000000" w:rsidR="00000000" w:rsidRPr="00000000">
        <w:rPr>
          <w:rFonts w:ascii="Caudex" w:cs="Caudex" w:eastAsia="Caudex" w:hAnsi="Caudex"/>
          <w:rtl w:val="0"/>
        </w:rPr>
        <w:t xml:space="preserve">All three measures move the way H₁₂ predicts, and each moves consistently across all four allocation levels without reversing. Sharpe rises from 0.556 to 0.637, Sortino from 0.886 to 1.032, and maximum drawdown shallows from −27.85% to −23.18%. Under the descriptive standard set with the hypothesis, this is the pattern that would reject H₀₂ in favour of H₁₂. The conclusion is bounded as stated there: it rests on one realized price path, it carries no p-value, and it shows what a blend would have done over this window, not what it will do over another.</w:t>
      </w:r>
      <w:r w:rsidDel="00000000" w:rsidR="00000000" w:rsidRPr="00000000">
        <w:rPr>
          <w:rtl w:val="0"/>
        </w:rPr>
      </w:r>
    </w:p>
    <w:p w:rsidR="00000000" w:rsidDel="00000000" w:rsidP="00000000" w:rsidRDefault="00000000" w:rsidRPr="00000000" w14:paraId="00000162">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Head-to-Head at Equal Starting Capital</w:t>
      </w:r>
      <w:r w:rsidDel="00000000" w:rsidR="00000000" w:rsidRPr="00000000">
        <w:rPr>
          <w:rtl w:val="0"/>
        </w:rPr>
      </w:r>
    </w:p>
    <w:p w:rsidR="00000000" w:rsidDel="00000000" w:rsidP="00000000" w:rsidRDefault="00000000" w:rsidRPr="00000000" w14:paraId="000001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fully capitalized arms were run over the identical 2022-01-01 to 2026-01-01 window, each starting from $10,000.</w:t>
      </w:r>
    </w:p>
    <w:p w:rsidR="00000000" w:rsidDel="00000000" w:rsidP="00000000" w:rsidRDefault="00000000" w:rsidRPr="00000000" w14:paraId="0000016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65">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p w:rsidR="00000000" w:rsidDel="00000000" w:rsidP="00000000" w:rsidRDefault="00000000" w:rsidRPr="00000000" w14:paraId="00000166">
      <w:pPr>
        <w:spacing w:after="0" w:line="120" w:lineRule="auto"/>
        <w:rPr>
          <w:rFonts w:ascii="Times New Roman" w:cs="Times New Roman" w:eastAsia="Times New Roman" w:hAnsi="Times New Roman"/>
        </w:rPr>
      </w:pPr>
      <w:r w:rsidDel="00000000" w:rsidR="00000000" w:rsidRPr="00000000">
        <w:rPr>
          <w:rtl w:val="0"/>
        </w:rPr>
      </w:r>
    </w:p>
    <w:tbl>
      <w:tblPr>
        <w:tblStyle w:val="Table7"/>
        <w:tblW w:w="9359.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90"/>
        <w:gridCol w:w="1272"/>
        <w:gridCol w:w="1727"/>
        <w:gridCol w:w="954"/>
        <w:gridCol w:w="954"/>
        <w:gridCol w:w="1181"/>
        <w:gridCol w:w="1181"/>
        <w:tblGridChange w:id="0">
          <w:tblGrid>
            <w:gridCol w:w="2090"/>
            <w:gridCol w:w="1272"/>
            <w:gridCol w:w="1727"/>
            <w:gridCol w:w="954"/>
            <w:gridCol w:w="954"/>
            <w:gridCol w:w="1181"/>
            <w:gridCol w:w="1181"/>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Arm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Final capital from $10,000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Sortino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Max drawdown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Time in market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OB-gated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$13,417.77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2.7273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−6.46%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Weekly DCA into BTC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+123.13%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$22,312.94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0.8857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−27.85%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Lump-sum buy-and-hold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$19,007.32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0.5642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0.8034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−67.21%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bl>
    <w:p w:rsidR="00000000" w:rsidDel="00000000" w:rsidP="00000000" w:rsidRDefault="00000000" w:rsidRPr="00000000" w14:paraId="00000183">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Time in market for the strategy is 2.6349% of candles. One reconciliation must be stated explicitly so that it is not mistaken for an arithmetic error. For the strategy arm the Total return column is the arithmetic sum of the 27 individual trade returns, which is the convention used for the +30.31% headline figure throughout this paper, while the Final capital column compounds those same 27 returns in sequence from the $10,000 start. Compounded, the strategy’s return over this window is +34.18%, which is what produces $13,417.77. The two passive arms hold one position throughout, so for them the two columns are the same quantity expressed two ways and no such gap arises.</w:t>
      </w:r>
      <w:r w:rsidDel="00000000" w:rsidR="00000000" w:rsidRPr="00000000">
        <w:rPr>
          <w:rtl w:val="0"/>
        </w:rPr>
      </w:r>
    </w:p>
    <w:p w:rsidR="00000000" w:rsidDel="00000000" w:rsidP="00000000" w:rsidRDefault="00000000" w:rsidRPr="00000000" w14:paraId="0000018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85">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p w:rsidR="00000000" w:rsidDel="00000000" w:rsidP="00000000" w:rsidRDefault="00000000" w:rsidRPr="00000000" w14:paraId="00000186">
      <w:pPr>
        <w:spacing w:after="0" w:line="120" w:lineRule="auto"/>
        <w:rPr>
          <w:rFonts w:ascii="Times New Roman" w:cs="Times New Roman" w:eastAsia="Times New Roman" w:hAnsi="Times New Roman"/>
        </w:rPr>
      </w:pPr>
      <w:r w:rsidDel="00000000" w:rsidR="00000000" w:rsidRPr="00000000">
        <w:rPr>
          <w:rtl w:val="0"/>
        </w:rPr>
      </w:r>
    </w:p>
    <w:tbl>
      <w:tblPr>
        <w:tblStyle w:val="Table8"/>
        <w:tblW w:w="9359.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90"/>
        <w:gridCol w:w="1272"/>
        <w:gridCol w:w="1727"/>
        <w:gridCol w:w="954"/>
        <w:gridCol w:w="954"/>
        <w:gridCol w:w="1181"/>
        <w:gridCol w:w="1181"/>
        <w:tblGridChange w:id="0">
          <w:tblGrid>
            <w:gridCol w:w="2090"/>
            <w:gridCol w:w="1272"/>
            <w:gridCol w:w="1727"/>
            <w:gridCol w:w="954"/>
            <w:gridCol w:w="954"/>
            <w:gridCol w:w="1181"/>
            <w:gridCol w:w="1181"/>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Arm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Final capital from $10,000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Sortino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Max drawdown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Time in market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OB-gated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$12,719.01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0.9442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−7.78%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Weekly DCA into BTC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+122.91%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$22,290.65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0.8806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−27.85%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Lump-sum buy-and-hold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+89.88%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$18,988.34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0.5642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0.8034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−67.21%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bl>
    <w:p w:rsidR="00000000" w:rsidDel="00000000" w:rsidP="00000000" w:rsidRDefault="00000000" w:rsidRPr="00000000" w14:paraId="000001A3">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Gungsuh" w:cs="Gungsuh" w:eastAsia="Gungsuh" w:hAnsi="Gungsuh"/>
          <w:sz w:val="20"/>
          <w:szCs w:val="20"/>
          <w:rtl w:val="0"/>
        </w:rPr>
        <w:t xml:space="preserve"> Same construction and window as Table 7, with costs applied as set out in Section E. The same summed-versus-compounded reconciliation applies: the strategy’s +24.91% is the sum of its 27 net trade returns, while $12,719.01 is those returns compounded, equivalent to +27.19%. Charging costs reduces the strategy’s Sharpe from 1.1142 to 0.9442 and its Sortino from 2.7273 to 2.0830, and deepens its maximum drawdown from −6.46% to −7.78%. Both passive arms are almost unaffected, because a single purchase markup is charged once rather than 27 times.</w:t>
      </w:r>
      <w:r w:rsidDel="00000000" w:rsidR="00000000" w:rsidRPr="00000000">
        <w:rPr>
          <w:rtl w:val="0"/>
        </w:rPr>
      </w:r>
    </w:p>
    <w:p w:rsidR="00000000" w:rsidDel="00000000" w:rsidP="00000000" w:rsidRDefault="00000000" w:rsidRPr="00000000" w14:paraId="000001A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its own, the strategy’s gross Sharpe of 1.114 and Sortino of 2.727 beat buy-and-hold Bitcoin over the same window, at 0.564 and 0.803. But the strategy holds a position only 2.63% of the time. This is not a like-for-like comparison and must not be read as the strategy beating Bitcoin’s risk-adjusted profile outright.</w:t>
      </w:r>
    </w:p>
    <w:p w:rsidR="00000000" w:rsidDel="00000000" w:rsidP="00000000" w:rsidRDefault="00000000" w:rsidRPr="00000000" w14:paraId="000001A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Stated plainly: weekly buying beat the strategy on final value over this window by a wide margin — $22,312.94 against $13,417.77 gross, and $22,290.65 against $12,719.01 after costs. That is not a favourable result and it is not softened here. What the strategy gives instead is a much better risk-adjusted profile, while holding a position only 2.63% of the time against 100% for both passive arms. That gap in exposure is large enough that neither figure alone tells an investor which to prefer. The blended model in Table 6 is the more useful frame for a decision.</w:t>
      </w:r>
    </w:p>
    <w:p w:rsidR="00000000" w:rsidDel="00000000" w:rsidP="00000000" w:rsidRDefault="00000000" w:rsidRPr="00000000" w14:paraId="000001A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A7">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p w:rsidR="00000000" w:rsidDel="00000000" w:rsidP="00000000" w:rsidRDefault="00000000" w:rsidRPr="00000000" w14:paraId="000001A8">
      <w:pPr>
        <w:spacing w:after="0" w:line="120" w:lineRule="auto"/>
        <w:rPr>
          <w:rFonts w:ascii="Times New Roman" w:cs="Times New Roman" w:eastAsia="Times New Roman" w:hAnsi="Times New Roman"/>
        </w:rPr>
      </w:pPr>
      <w:r w:rsidDel="00000000" w:rsidR="00000000" w:rsidRPr="00000000">
        <w:rPr>
          <w:rtl w:val="0"/>
        </w:rPr>
      </w:r>
    </w:p>
    <w:tbl>
      <w:tblPr>
        <w:tblStyle w:val="Table9"/>
        <w:tblW w:w="9359.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90"/>
        <w:gridCol w:w="1272"/>
        <w:gridCol w:w="1727"/>
        <w:gridCol w:w="954"/>
        <w:gridCol w:w="954"/>
        <w:gridCol w:w="1181"/>
        <w:gridCol w:w="1181"/>
        <w:tblGridChange w:id="0">
          <w:tblGrid>
            <w:gridCol w:w="2090"/>
            <w:gridCol w:w="1272"/>
            <w:gridCol w:w="1727"/>
            <w:gridCol w:w="954"/>
            <w:gridCol w:w="954"/>
            <w:gridCol w:w="1181"/>
            <w:gridCol w:w="1181"/>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Arm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Final capital from $10,000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Sortino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Max drawdown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Time in market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OB-gated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$12,282.53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Weekly DCA into BTC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+439.88%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$53,987.55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−46.16%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Lump-sum buy-and-hold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+236.96%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$33,696.49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−81.42%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bl>
    <w:p w:rsidR="00000000" w:rsidDel="00000000" w:rsidP="00000000" w:rsidRDefault="00000000" w:rsidRPr="00000000" w14:paraId="000001C5">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7, applied to the 2018-01-01 to 2022-01-01 window, where the weekly schedule contains 209 contributions of $47.8469 each and the strategy arm compounds at each trade exit bar. The strategy’s +21.82% is again the summed figure; $12,282.53 is the compounded equivalent of +22.83%.</w:t>
      </w:r>
      <w:r w:rsidDel="00000000" w:rsidR="00000000" w:rsidRPr="00000000">
        <w:rPr>
          <w:rtl w:val="0"/>
        </w:rPr>
      </w:r>
    </w:p>
    <w:p w:rsidR="00000000" w:rsidDel="00000000" w:rsidP="00000000" w:rsidRDefault="00000000" w:rsidRPr="00000000" w14:paraId="000001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window is where the rules were built, so it is not out-of-sample evidence and is shown for comparison only. Bitcoin’s 2018 to 2022 window held a much bigger fall-and-recovery cycle than 2022 to 2026, which mechanically favours weekly buying by lowering its average purchase price. That is a property of the passive benchmarks on that price path, not a statement about the strategy’s edge. Note that the strategy performs worse on its own build window than on the reported window — the opposite of what fitting the rules to that period would have produced.</w:t>
      </w:r>
    </w:p>
    <w:p w:rsidR="00000000" w:rsidDel="00000000" w:rsidP="00000000" w:rsidRDefault="00000000" w:rsidRPr="00000000" w14:paraId="000001C7">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Transaction-Cost Sensitivity</w:t>
      </w:r>
      <w:r w:rsidDel="00000000" w:rsidR="00000000" w:rsidRPr="00000000">
        <w:rPr>
          <w:rtl w:val="0"/>
        </w:rPr>
      </w:r>
    </w:p>
    <w:p w:rsidR="00000000" w:rsidDel="00000000" w:rsidP="00000000" w:rsidRDefault="00000000" w:rsidRPr="00000000" w14:paraId="000001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confirmed Binance USDT-M Futures standard taker rate is 0.05% per side, or 5.00 basis points, giving 0.10% for a round trip. Slippage — the gap between the expected and actual fill price — was modelled separately at a conservative 0.05% per side, or 0.10% round trip. Six scenarios were run: gross, fee-only, and four spanning 0.14% to 0.40% round trip.</w:t>
      </w:r>
    </w:p>
    <w:p w:rsidR="00000000" w:rsidDel="00000000" w:rsidP="00000000" w:rsidRDefault="00000000" w:rsidRPr="00000000" w14:paraId="000001C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CA">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CB">
      <w:pPr>
        <w:spacing w:after="0" w:line="12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300"/>
        <w:gridCol w:w="600"/>
        <w:gridCol w:w="1100"/>
        <w:gridCol w:w="1500"/>
        <w:gridCol w:w="1400"/>
        <w:gridCol w:w="1460"/>
        <w:tblGridChange w:id="0">
          <w:tblGrid>
            <w:gridCol w:w="3300"/>
            <w:gridCol w:w="600"/>
            <w:gridCol w:w="1100"/>
            <w:gridCol w:w="1500"/>
            <w:gridCol w:w="1400"/>
            <w:gridCol w:w="14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C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 net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Binomial p (1-sided)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Trades flipped to losses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 no fees or slippage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Fee only, 5.00 bps per side round trip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 band, 4 bps fee + 3 bps slippage per side, 0.14% round trip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7938, 8188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Primary, 5 bps fee + 5 bps slippage per side, 0.20% round trip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0.1239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7938, 8188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Mid band, 7 bps fee + 5 bps slippage per side, 0.24% round trip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0.1239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7938, 8188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 band, 10 bps fee + 10 bps slippage per side, 0.40% round trip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55.56%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2859, 5825, 7938, 8188</w:t>
            </w:r>
            <w:r w:rsidDel="00000000" w:rsidR="00000000" w:rsidRPr="00000000">
              <w:rPr>
                <w:rtl w:val="0"/>
              </w:rPr>
            </w:r>
          </w:p>
        </w:tc>
      </w:tr>
    </w:tbl>
    <w:p w:rsidR="00000000" w:rsidDel="00000000" w:rsidP="00000000" w:rsidRDefault="00000000" w:rsidRPr="00000000" w14:paraId="000001F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re-runs the binomial test in full on that scenario’s fee-adjusted trade set rather than adjusting the gross p-value analytically. The flipped-trade column gives the candle indices of the trades that cross from winners into losers. “bps” means basis points, where one basis point is one hundredth of one percent.</w:t>
      </w:r>
      <w:r w:rsidDel="00000000" w:rsidR="00000000" w:rsidRPr="00000000">
        <w:rPr>
          <w:rtl w:val="0"/>
        </w:rPr>
      </w:r>
    </w:p>
    <w:p w:rsidR="00000000" w:rsidDel="00000000" w:rsidP="00000000" w:rsidRDefault="00000000" w:rsidRPr="00000000" w14:paraId="000001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reverses a significance conclusion, and it is reported as such, not softened. The first hypothesis pair resolves differently depending on the cost assumption, and both resolutions are stated. Before costs, and under the exchange fee alone, H₀₁ is rejected at p = 0.0261. Under the primary assumption of a 0.20% round trip, and every stricter scenario tested, H₀₁ is not rejected. Since the primary assumption is the realistic one, the honest overall answer is that H₀₁ is not rejected once costs a real trader would pay are charged. In plain terms: once realistic fees and slippage are charged, the above-50% win rate can no longer be told apart from luck. The flip comes from exactly two trades — those at candle indices 7938 and 8188, worth +0.12% and +0.13% before costs — crossing from winners into losers.</w:t>
      </w:r>
    </w:p>
    <w:p w:rsidR="00000000" w:rsidDel="00000000" w:rsidP="00000000" w:rsidRDefault="00000000" w:rsidRPr="00000000" w14:paraId="000001F8">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Out-of-Sample and Extended-History Validation</w:t>
      </w:r>
      <w:r w:rsidDel="00000000" w:rsidR="00000000" w:rsidRPr="00000000">
        <w:rPr>
          <w:rtl w:val="0"/>
        </w:rPr>
      </w:r>
    </w:p>
    <w:p w:rsidR="00000000" w:rsidDel="00000000" w:rsidP="00000000" w:rsidRDefault="00000000" w:rsidRPr="00000000" w14:paraId="000001F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forward out-of-sample test used BTCUSDT 4-hour data from 2026-01-01 to 2026-07-31, a period that came after every change to the code. It ran through the identical frozen pipeline, after first confirming the locked 27-trade baseline reproduced exactly.</w:t>
      </w:r>
    </w:p>
    <w:p w:rsidR="00000000" w:rsidDel="00000000" w:rsidP="00000000" w:rsidRDefault="00000000" w:rsidRPr="00000000" w14:paraId="000001FA">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FB">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p w:rsidR="00000000" w:rsidDel="00000000" w:rsidP="00000000" w:rsidRDefault="00000000" w:rsidRPr="00000000" w14:paraId="000001FC">
      <w:pPr>
        <w:spacing w:after="0" w:line="12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5200"/>
        <w:gridCol w:w="4160"/>
        <w:tblGridChange w:id="0">
          <w:tblGrid>
            <w:gridCol w:w="5200"/>
            <w:gridCol w:w="41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New out-of-sample trades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6">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0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−0.86%</w:t>
            </w:r>
            <w:r w:rsidDel="00000000" w:rsidR="00000000" w:rsidRPr="00000000">
              <w:rPr>
                <w:rtl w:val="0"/>
              </w:rPr>
            </w:r>
          </w:p>
        </w:tc>
      </w:tr>
    </w:tbl>
    <w:p w:rsidR="00000000" w:rsidDel="00000000" w:rsidP="00000000" w:rsidRDefault="00000000" w:rsidRPr="00000000" w14:paraId="00000209">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Produced by the same frozen pipeline that generated Table 3, applied to candles after 2026-01-01 08:00:00.</w:t>
      </w:r>
      <w:r w:rsidDel="00000000" w:rsidR="00000000" w:rsidRPr="00000000">
        <w:rPr>
          <w:rtl w:val="0"/>
        </w:rPr>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reported as it came out: small and unfavourable. Four trades cannot confirm or refute the strategy’s edge on their own. But it is the only evidence that is out-of-sample for both rule building and code checking, and it is not reassuring.</w:t>
      </w:r>
    </w:p>
    <w:p w:rsidR="00000000" w:rsidDel="00000000" w:rsidP="00000000" w:rsidRDefault="00000000" w:rsidRPr="00000000" w14:paraId="0000020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separate eight-year backfill check ran the same frozen pipeline on data extended back to 2018-01-01, to test whether four extra years of indicator warm-up would change the locked results. This was a real risk, because MACD’s exponential moving averages and the fixed KDJ series are recursive and carry memory with no theoretical cut-off. The check passed: all 27 locked trades matched by entry timestamp, with a maximum profit-and-loss difference of 0.0000000000%.</w:t>
      </w:r>
    </w:p>
    <w:p w:rsidR="00000000" w:rsidDel="00000000" w:rsidP="00000000" w:rsidRDefault="00000000" w:rsidRPr="00000000" w14:paraId="0000020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20D">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p w:rsidR="00000000" w:rsidDel="00000000" w:rsidP="00000000" w:rsidRDefault="00000000" w:rsidRPr="00000000" w14:paraId="0000020E">
      <w:pPr>
        <w:spacing w:after="0" w:line="12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400"/>
        <w:gridCol w:w="600"/>
        <w:gridCol w:w="1100"/>
        <w:gridCol w:w="1400"/>
        <w:gridCol w:w="1400"/>
        <w:gridCol w:w="1460"/>
        <w:tblGridChange w:id="0">
          <w:tblGrid>
            <w:gridCol w:w="3400"/>
            <w:gridCol w:w="600"/>
            <w:gridCol w:w="1100"/>
            <w:gridCol w:w="1400"/>
            <w:gridCol w:w="1400"/>
            <w:gridCol w:w="14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0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Window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 return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Avg return/trade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Binomial p (1-sided)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2018-01 to 2022-01, formulation period, not out-of-sample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0.2122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2022-01 to 2026-01, primary reported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Combined 2018 to 2026, mixed provenance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0.0407</w:t>
            </w:r>
            <w:r w:rsidDel="00000000" w:rsidR="00000000" w:rsidRPr="00000000">
              <w:rPr>
                <w:rtl w:val="0"/>
              </w:rPr>
            </w:r>
          </w:p>
        </w:tc>
      </w:tr>
    </w:tbl>
    <w:p w:rsidR="00000000" w:rsidDel="00000000" w:rsidP="00000000" w:rsidRDefault="00000000" w:rsidRPr="00000000" w14:paraId="00000227">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Gungsuh" w:cs="Gungsuh" w:eastAsia="Gungsuh" w:hAnsi="Gungsuh"/>
          <w:sz w:val="20"/>
          <w:szCs w:val="20"/>
          <w:rtl w:val="0"/>
        </w:rPr>
        <w:t xml:space="preserve"> Each row is a separate binomial test on that window’s own trade set. The combined row’s 56 trades are the 25 formulation-period trades, the 27 primary-window trades, and the 4 forward-test trades of Table 11. The arithmetic reconciles exactly: 25 + 27 + 4 = 56 trades; 15 + 19 + 1 = 35 wins, which is 62.50%; and +21.82% + 30.31% − 3.45% = +48.68%.</w:t>
      </w:r>
      <w:r w:rsidDel="00000000" w:rsidR="00000000" w:rsidRPr="00000000">
        <w:rPr>
          <w:rtl w:val="0"/>
        </w:rPr>
      </w:r>
    </w:p>
    <w:p w:rsidR="00000000" w:rsidDel="00000000" w:rsidP="00000000" w:rsidRDefault="00000000" w:rsidRPr="00000000" w14:paraId="0000022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row should never be cited on its own. About half of it comes from the period the rules were built on, so its p = 0.0407 partly reflects performance on data the rules were formed by looking at. Note that the strategy does worse on its own build data, at a 60.00% win rate and p = 0.2122, than on the primary window, at 70.37% and p = 0.0261. That is the opposite of what fitting the rules to that period would predict, and it is the clearest single piece of evidence in this paper that the rules were not tuned to that window.</w:t>
      </w:r>
    </w:p>
    <w:p w:rsidR="00000000" w:rsidDel="00000000" w:rsidP="00000000" w:rsidRDefault="00000000" w:rsidRPr="00000000" w14:paraId="00000229">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keepLines w:val="0"/>
        <w:spacing w:after="80" w:line="480"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B">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Discussion of Findings</w:t>
      </w:r>
      <w:r w:rsidDel="00000000" w:rsidR="00000000" w:rsidRPr="00000000">
        <w:rPr>
          <w:rtl w:val="0"/>
        </w:rPr>
      </w:r>
    </w:p>
    <w:p w:rsidR="00000000" w:rsidDel="00000000" w:rsidP="00000000" w:rsidRDefault="00000000" w:rsidRPr="00000000" w14:paraId="0000022C">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Predictive Effectiveness</w:t>
      </w:r>
      <w:r w:rsidDel="00000000" w:rsidR="00000000" w:rsidRPr="00000000">
        <w:rPr>
          <w:rtl w:val="0"/>
        </w:rPr>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finding holds up directionally. The bootstrap 95% interval on total return, [+5.99%, +54.99%], excludes zero even though it is wide, and 99.25% of the 10,000 resamples were positive. The win-rate significance is fragile by comparison. It survives the exchange fee alone at p = 0.0261, but not the addition of conservative slippage at p = 0.1239. Both are part of the same answer to the first research question. Reporting only the first would misrepresent the second.</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is also concentrated. Three trades make up 51.7% of the total. At this sample size, profit rests on a few large outcomes rather than a steady edge in every trade, and a different four-year window could easily give a different result. The positive correlation between holding time and return, r = +0.4907 and ρ = +0.4797, fits that picture: the large outcomes are the ones the exit rules let run.</w:t>
      </w:r>
    </w:p>
    <w:p w:rsidR="00000000" w:rsidDel="00000000" w:rsidP="00000000" w:rsidRDefault="00000000" w:rsidRPr="00000000" w14:paraId="0000022F">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The Separation Between Formulation and Reported Windows</w:t>
      </w:r>
      <w:r w:rsidDel="00000000" w:rsidR="00000000" w:rsidRPr="00000000">
        <w:rPr>
          <w:rtl w:val="0"/>
        </w:rPr>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 is the most direct evidence that the separation is real, not just claimed: the strategy does worse on the window its rules came from. That should not be overstated. Inspecting charts by eye is weaker separation than a formal held-out split, because it leaves no record of what was tried and discarded. And the reported window is out-of-sample only for rule building, not code checking. The four-trade January to July 2026 test is the only result out-of-sample in both senses, and it is unfavourable.</w:t>
      </w:r>
    </w:p>
    <w:p w:rsidR="00000000" w:rsidDel="00000000" w:rsidP="00000000" w:rsidRDefault="00000000" w:rsidRPr="00000000" w14:paraId="00000231">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What the Correction History Shows</w:t>
      </w:r>
      <w:r w:rsidDel="00000000" w:rsidR="00000000" w:rsidRPr="00000000">
        <w:rPr>
          <w:rtl w:val="0"/>
        </w:rPr>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no-lookahead audit found and fixed a data-leakage bug in the search loops of two Order Block criteria. Two more corrections were made in the reporting rather than the code. The correlation p-values had been overstated by roughly ten times and are now about 0.0094 and 0.0113. The two bootstrap intervals at different resample counts now appear side by side, with the gap traced to the resample count alone. No outside reviewer found any of these. Each was found by checking work that already looked correct, which is the point.</w:t>
      </w:r>
    </w:p>
    <w:p w:rsidR="00000000" w:rsidDel="00000000" w:rsidP="00000000" w:rsidRDefault="00000000" w:rsidRPr="00000000" w14:paraId="00000233">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Regime Dependence and the Relationship to Passive Investing</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edge is concentrated in bull-trending conditions, at an 85.71% win rate under both regime methods, and is weaker or negative in sideways or bearish conditions under at least one of them. That limits any claim of reliability across market conditions.</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second and third research questions the two results point opposite ways, and both must be reported. Head-to-head from equal capital, weekly buying beat the strategy decisively on final value, and no framing changes that. On risk-adjusted shape the strategy was stronger, but it did that while invested 2.63% of the time against 100%, which is not a like-for-like comparison. The blended framing is the defensible one: Sharpe, Sortino, and drawdown all improve steadily as the strategy’s share rises from 0% to 30% inside a weekly buying plan. Head-to-head, weekly buying produced roughly 1.66 times the strategy’s final capital before costs and roughly 1.75 times after. Both results are true at once, and citing either without the other would misrepresent the finding. The practical reading: this rule set is a possible add-on to a weekly buying plan over this window, not a replacement.</w:t>
      </w:r>
    </w:p>
    <w:p w:rsidR="00000000" w:rsidDel="00000000" w:rsidP="00000000" w:rsidRDefault="00000000" w:rsidRPr="00000000" w14:paraId="00000236">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37">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study does not model leverage or margin, and reports unlevered returns throughout. This is a scope decision. The engine checks every exit on candle closes rather than on price movement inside a candle, so a leverage model on top would inherit that limit and report liquidations it cannot actually establish.</w:t>
      </w:r>
    </w:p>
    <w:p w:rsidR="00000000" w:rsidDel="00000000" w:rsidP="00000000" w:rsidRDefault="00000000" w:rsidRPr="00000000" w14:paraId="00000238">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sample is small at 27 trades, and return is concentrated in three of them, which together make up 51.7% of the total. Conclusions in either direction are provisional.</w:t>
      </w:r>
    </w:p>
    <w:p w:rsidR="00000000" w:rsidDel="00000000" w:rsidP="00000000" w:rsidRDefault="00000000" w:rsidRPr="00000000" w14:paraId="00000239">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3A">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comparison against passive options is descriptive, not inferential. Sharpe, Sortino, and maximum drawdown are each computed once on one realized price path, so no confidence interval or p-value attaches to the difference between arms, and none is claimed. A different four-year window could reverse the ordering, as Table 9 already shows in one direction.</w:t>
      </w:r>
    </w:p>
    <w:p w:rsidR="00000000" w:rsidDel="00000000" w:rsidP="00000000" w:rsidRDefault="00000000" w:rsidRPr="00000000" w14:paraId="0000023B">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Two choices are disclosed as assumptions rather than defended as the only correct option: Sharpe and Sortino assume a risk-free rate and minimum acceptable return of zero, and the bootstrap is the plain percentile form, not the bias-corrected and accelerated version.</w:t>
      </w:r>
    </w:p>
    <w:p w:rsidR="00000000" w:rsidDel="00000000" w:rsidP="00000000" w:rsidRDefault="00000000" w:rsidRPr="00000000" w14:paraId="0000023C">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Trade frequency is low, at roughly 0.56 trades per month, which limits how fast genuinely forward-looking evidence can build up.</w:t>
      </w:r>
    </w:p>
    <w:p w:rsidR="00000000" w:rsidDel="00000000" w:rsidP="00000000" w:rsidRDefault="00000000" w:rsidRPr="00000000" w14:paraId="0000023D">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January 2022 to January 2026 the strategy made 27 trades with a 70.37% win rate and a total net return of +30.31%, at a one-sided exact binomial p of 0.0261 before costs. Every rule, parameter, and threshold behind that result was set by eye on a separate January 2018 to January 2022 window and frozen before the reported window was measured.</w:t>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percentile bootstrap of 10,000 resamples put the 95% interval on total return at [+5.99%, +54.99%], which excludes zero, with 99.25% of resamples positive. The return finding therefore holds up directionally in this window.</w:t>
      </w:r>
    </w:p>
    <w:p w:rsidR="00000000" w:rsidDel="00000000" w:rsidP="00000000" w:rsidRDefault="00000000" w:rsidRPr="00000000" w14:paraId="000002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win-rate significance does not. A realistic 0.20% round-trip cost moves p from 0.0261 to 0.1239, and every stricter scenario moves it further. Since that is the realistic assumption, the answer this paper carries forward is that H₀₁ is not rejected once costs a real trader would pay are charged. Exactly two marginal trades drive the flip.</w:t>
      </w:r>
    </w:p>
    <w:p w:rsidR="00000000" w:rsidDel="00000000" w:rsidP="00000000" w:rsidRDefault="00000000" w:rsidRPr="00000000" w14:paraId="000002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changed the paper as well as the code. A real data-leakage bug in two Order Block criteria was found and fixed. The correlation p-values were corrected from an overstated p less than 0.001 to about 0.0094 and 0.0113. The two differing bootstrap intervals were explained rather than merged.</w:t>
      </w:r>
    </w:p>
    <w:p w:rsidR="00000000" w:rsidDel="00000000" w:rsidP="00000000" w:rsidRDefault="00000000" w:rsidRPr="00000000" w14:paraId="00000242">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forward test that came after every code change returned −3.45% across four trades, with one winner. It is too small to settle anything. It is also the only evidence out-of-sample in both senses, and it is unfavourable.</w:t>
      </w:r>
      <w:r w:rsidDel="00000000" w:rsidR="00000000" w:rsidRPr="00000000">
        <w:rPr>
          <w:rtl w:val="0"/>
        </w:rPr>
      </w:r>
    </w:p>
    <w:p w:rsidR="00000000" w:rsidDel="00000000" w:rsidP="00000000" w:rsidRDefault="00000000" w:rsidRPr="00000000" w14:paraId="000002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second research question, weekly buying beat the strategy on final value from equal capital, $22,312.94 against $13,417.77, while the strategy had the stronger risk-adjusted shape at 2.63% time in market against 100%. The two are not like-for-like, and both are reported. On the third, all three risk-adjusted measures improved steadily as the strategy share rose from 0% to 30% inside a weekly buying plan, settled descriptively with no p-value attached.</w:t>
      </w:r>
    </w:p>
    <w:p w:rsidR="00000000" w:rsidDel="00000000" w:rsidP="00000000" w:rsidRDefault="00000000" w:rsidRPr="00000000" w14:paraId="000002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shows a historically observed, directionally robust return edge for this rule set on this window, with its win-rate significance shown to be cost-sensitive and its regime concentration stated openly. It does not show that the strategy will stay profitable in future conditions, and the only evidence so far on that question is unfavourable.</w:t>
      </w:r>
    </w:p>
    <w:p w:rsidR="00000000" w:rsidDel="00000000" w:rsidP="00000000" w:rsidRDefault="00000000" w:rsidRPr="00000000" w14:paraId="000002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should keep collecting genuinely forward-looking trades at the strategy’s natural frequency, since only forward evidence can settle whether the edge lasts, and should test the same rules on other instruments and timeframes.</w:t>
      </w:r>
    </w:p>
    <w:p w:rsidR="00000000" w:rsidDel="00000000" w:rsidP="00000000" w:rsidRDefault="00000000" w:rsidRPr="00000000" w14:paraId="00000246">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7ymm5yfmtqa8" w:id="0"/>
      <w:bookmarkEnd w:id="0"/>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248">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https://www.bsp.gov.ph/Inclusive%20Finance/Financial%20Inclusion%20Reports%20and%20Publications/2021/2021FISToplineReport.pdf</w:t>
      </w:r>
    </w:p>
    <w:p w:rsidR="00000000" w:rsidDel="00000000" w:rsidP="00000000" w:rsidRDefault="00000000" w:rsidRPr="00000000" w14:paraId="00000249">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Baur, D. G., Hong, K., &amp; Lee, A. D. (2017). Bitcoin: Medium of exchange or speculative assets?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54</w:t>
      </w:r>
      <w:r w:rsidDel="00000000" w:rsidR="00000000" w:rsidRPr="00000000">
        <w:rPr>
          <w:rFonts w:ascii="Times New Roman" w:cs="Times New Roman" w:eastAsia="Times New Roman" w:hAnsi="Times New Roman"/>
          <w:rtl w:val="0"/>
        </w:rPr>
        <w:t xml:space="preserve">, 177–189. https://doi.org/10.1016/j.intfin.2017.12.004</w:t>
      </w:r>
    </w:p>
    <w:p w:rsidR="00000000" w:rsidDel="00000000" w:rsidP="00000000" w:rsidRDefault="00000000" w:rsidRPr="00000000" w14:paraId="0000024A">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Bergsli, L. Ø., Lind, A. F., Molnár, P., &amp; Polasik, M. (2022). Forecasting volatility of Bitcoin. </w:t>
      </w:r>
      <w:r w:rsidDel="00000000" w:rsidR="00000000" w:rsidRPr="00000000">
        <w:rPr>
          <w:rFonts w:ascii="Times New Roman" w:cs="Times New Roman" w:eastAsia="Times New Roman" w:hAnsi="Times New Roman"/>
          <w:i w:val="1"/>
          <w:iCs w:val="1"/>
          <w:rtl w:val="0"/>
        </w:rPr>
        <w:t xml:space="preserve">Research in International Business and Finance, 59</w:t>
      </w:r>
      <w:r w:rsidDel="00000000" w:rsidR="00000000" w:rsidRPr="00000000">
        <w:rPr>
          <w:rFonts w:ascii="Times New Roman" w:cs="Times New Roman" w:eastAsia="Times New Roman" w:hAnsi="Times New Roman"/>
          <w:rtl w:val="0"/>
        </w:rPr>
        <w:t xml:space="preserve">, Article 101540. https://doi.org/10.1016/j.ribaf.2021.101540</w:t>
      </w:r>
    </w:p>
    <w:p w:rsidR="00000000" w:rsidDel="00000000" w:rsidP="00000000" w:rsidRDefault="00000000" w:rsidRPr="00000000" w14:paraId="0000024B">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https://doi.org/10.1016/j.jfineco.2009.02.001</w:t>
      </w:r>
    </w:p>
    <w:p w:rsidR="00000000" w:rsidDel="00000000" w:rsidP="00000000" w:rsidRDefault="00000000" w:rsidRPr="00000000" w14:paraId="0000024C">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https://doi.org/10.1016/j.finmar.2004.11.001</w:t>
      </w:r>
    </w:p>
    <w:p w:rsidR="00000000" w:rsidDel="00000000" w:rsidP="00000000" w:rsidRDefault="00000000" w:rsidRPr="00000000" w14:paraId="0000024D">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Bibi, S. (2023). Money in the time of crypto. </w:t>
      </w:r>
      <w:r w:rsidDel="00000000" w:rsidR="00000000" w:rsidRPr="00000000">
        <w:rPr>
          <w:rFonts w:ascii="Times New Roman" w:cs="Times New Roman" w:eastAsia="Times New Roman" w:hAnsi="Times New Roman"/>
          <w:i w:val="1"/>
          <w:iCs w:val="1"/>
          <w:rtl w:val="0"/>
        </w:rPr>
        <w:t xml:space="preserve">Research in International Business and Finance, 65</w:t>
      </w:r>
      <w:r w:rsidDel="00000000" w:rsidR="00000000" w:rsidRPr="00000000">
        <w:rPr>
          <w:rFonts w:ascii="Times New Roman" w:cs="Times New Roman" w:eastAsia="Times New Roman" w:hAnsi="Times New Roman"/>
          <w:rtl w:val="0"/>
        </w:rPr>
        <w:t xml:space="preserve">, Article 101964. https://doi.org/10.1016/j.ribaf.2023.101964</w:t>
      </w:r>
    </w:p>
    <w:p w:rsidR="00000000" w:rsidDel="00000000" w:rsidP="00000000" w:rsidRDefault="00000000" w:rsidRPr="00000000" w14:paraId="0000024E">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Brolley, M., &amp; Cimon, D. A. (2020). Order-flow segmentation, liquidity, and price discovery: The role of latency delays. </w:t>
      </w:r>
      <w:r w:rsidDel="00000000" w:rsidR="00000000" w:rsidRPr="00000000">
        <w:rPr>
          <w:rFonts w:ascii="Times New Roman" w:cs="Times New Roman" w:eastAsia="Times New Roman" w:hAnsi="Times New Roman"/>
          <w:i w:val="1"/>
          <w:iCs w:val="1"/>
          <w:rtl w:val="0"/>
        </w:rPr>
        <w:t xml:space="preserve">Journal of Financial and Quantitative Analysis, 55</w:t>
      </w:r>
      <w:r w:rsidDel="00000000" w:rsidR="00000000" w:rsidRPr="00000000">
        <w:rPr>
          <w:rFonts w:ascii="Times New Roman" w:cs="Times New Roman" w:eastAsia="Times New Roman" w:hAnsi="Times New Roman"/>
          <w:rtl w:val="0"/>
        </w:rPr>
        <w:t xml:space="preserve">(8), 2555–2587. https://doi.org/10.1017/S002210901900067X</w:t>
      </w:r>
    </w:p>
    <w:p w:rsidR="00000000" w:rsidDel="00000000" w:rsidP="00000000" w:rsidRDefault="00000000" w:rsidRPr="00000000" w14:paraId="0000024F">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https://doi.org/10.1080/13504850600993598</w:t>
      </w:r>
    </w:p>
    <w:p w:rsidR="00000000" w:rsidDel="00000000" w:rsidP="00000000" w:rsidRDefault="00000000" w:rsidRPr="00000000" w14:paraId="00000250">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https://doi.org/10.2307/2330513</w:t>
      </w:r>
    </w:p>
    <w:p w:rsidR="00000000" w:rsidDel="00000000" w:rsidP="00000000" w:rsidRDefault="00000000" w:rsidRPr="00000000" w14:paraId="00000251">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https://doi.org/10.1016/j.frl.2019.04.027</w:t>
      </w:r>
    </w:p>
    <w:p w:rsidR="00000000" w:rsidDel="00000000" w:rsidP="00000000" w:rsidRDefault="00000000" w:rsidRPr="00000000" w14:paraId="00000252">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53">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https://doi.org/10.1596/978-1-4648-1897-4</w:t>
      </w:r>
    </w:p>
    <w:p w:rsidR="00000000" w:rsidDel="00000000" w:rsidP="00000000" w:rsidRDefault="00000000" w:rsidRPr="00000000" w14:paraId="00000254">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 A., &amp; Escribano, A. (2020). Measuring the multi-faceted dimension of liquidity in financial markets: A literature review. </w:t>
      </w:r>
      <w:r w:rsidDel="00000000" w:rsidR="00000000" w:rsidRPr="00000000">
        <w:rPr>
          <w:rFonts w:ascii="Times New Roman" w:cs="Times New Roman" w:eastAsia="Times New Roman" w:hAnsi="Times New Roman"/>
          <w:i w:val="1"/>
          <w:iCs w:val="1"/>
          <w:rtl w:val="0"/>
        </w:rPr>
        <w:t xml:space="preserve">Research in International Business and Finance, 51</w:t>
      </w:r>
      <w:r w:rsidDel="00000000" w:rsidR="00000000" w:rsidRPr="00000000">
        <w:rPr>
          <w:rFonts w:ascii="Times New Roman" w:cs="Times New Roman" w:eastAsia="Times New Roman" w:hAnsi="Times New Roman"/>
          <w:rtl w:val="0"/>
        </w:rPr>
        <w:t xml:space="preserve">, Article 101079. https://doi.org/10.1016/j.ribaf.2019.101079</w:t>
      </w:r>
    </w:p>
    <w:p w:rsidR="00000000" w:rsidDel="00000000" w:rsidP="00000000" w:rsidRDefault="00000000" w:rsidRPr="00000000" w14:paraId="00000255">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56">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Eom, C., Kaizoji, T., Kang, S. H., &amp; Pichl, L. (2018). Bitcoin and investor sentiment: Statistical characteristics and predictability. </w:t>
      </w:r>
      <w:r w:rsidDel="00000000" w:rsidR="00000000" w:rsidRPr="00000000">
        <w:rPr>
          <w:rFonts w:ascii="Times New Roman" w:cs="Times New Roman" w:eastAsia="Times New Roman" w:hAnsi="Times New Roman"/>
          <w:i w:val="1"/>
          <w:iCs w:val="1"/>
          <w:rtl w:val="0"/>
        </w:rPr>
        <w:t xml:space="preserve">Physica A: Statistical Mechanics and Its Applications, 514</w:t>
      </w:r>
      <w:r w:rsidDel="00000000" w:rsidR="00000000" w:rsidRPr="00000000">
        <w:rPr>
          <w:rFonts w:ascii="Times New Roman" w:cs="Times New Roman" w:eastAsia="Times New Roman" w:hAnsi="Times New Roman"/>
          <w:rtl w:val="0"/>
        </w:rPr>
        <w:t xml:space="preserve">, 511–521. https://doi.org/10.1016/j.physa.2018.09.063</w:t>
      </w:r>
    </w:p>
    <w:p w:rsidR="00000000" w:rsidDel="00000000" w:rsidP="00000000" w:rsidRDefault="00000000" w:rsidRPr="00000000" w14:paraId="00000257">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58">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Katsiampa, P. (2017). Volatility estimation for Bitcoin: A comparison of GARCH models. </w:t>
      </w:r>
      <w:r w:rsidDel="00000000" w:rsidR="00000000" w:rsidRPr="00000000">
        <w:rPr>
          <w:rFonts w:ascii="Times New Roman" w:cs="Times New Roman" w:eastAsia="Times New Roman" w:hAnsi="Times New Roman"/>
          <w:i w:val="1"/>
          <w:iCs w:val="1"/>
          <w:rtl w:val="0"/>
        </w:rPr>
        <w:t xml:space="preserve">Economics Letters, 158</w:t>
      </w:r>
      <w:r w:rsidDel="00000000" w:rsidR="00000000" w:rsidRPr="00000000">
        <w:rPr>
          <w:rFonts w:ascii="Times New Roman" w:cs="Times New Roman" w:eastAsia="Times New Roman" w:hAnsi="Times New Roman"/>
          <w:rtl w:val="0"/>
        </w:rPr>
        <w:t xml:space="preserve">, 3–6. https://doi.org/10.1016/j.econlet.2017.06.023</w:t>
      </w:r>
    </w:p>
    <w:p w:rsidR="00000000" w:rsidDel="00000000" w:rsidP="00000000" w:rsidRDefault="00000000" w:rsidRPr="00000000" w14:paraId="00000259">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https://www.tradingview.com/script/CnB3fSph-Smart-Money-Concepts-SMC-LuxAlgo/</w:t>
      </w:r>
    </w:p>
    <w:p w:rsidR="00000000" w:rsidDel="00000000" w:rsidP="00000000" w:rsidRDefault="00000000" w:rsidRPr="00000000" w14:paraId="0000025A">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https://doi.org/10.1155/2017/3096917</w:t>
      </w:r>
    </w:p>
    <w:p w:rsidR="00000000" w:rsidDel="00000000" w:rsidP="00000000" w:rsidRDefault="00000000" w:rsidRPr="00000000" w14:paraId="0000025B">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https://bitcoin.org/bitcoin.pdf</w:t>
      </w:r>
    </w:p>
    <w:p w:rsidR="00000000" w:rsidDel="00000000" w:rsidP="00000000" w:rsidRDefault="00000000" w:rsidRPr="00000000" w14:paraId="0000025C">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14:paraId="0000025D">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https://doi.org/10.20955/r.103.153-74</w:t>
      </w:r>
    </w:p>
    <w:p w:rsidR="00000000" w:rsidDel="00000000" w:rsidP="00000000" w:rsidRDefault="00000000" w:rsidRPr="00000000" w14:paraId="0000025E">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https://doi.org/10.3905/jpm.1994.409501</w:t>
      </w:r>
    </w:p>
    <w:p w:rsidR="00000000" w:rsidDel="00000000" w:rsidP="00000000" w:rsidRDefault="00000000" w:rsidRPr="00000000" w14:paraId="0000025F">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Sortino, F. A., &amp; van der Meer, R. (1991). Downside risk. </w:t>
      </w:r>
      <w:r w:rsidDel="00000000" w:rsidR="00000000" w:rsidRPr="00000000">
        <w:rPr>
          <w:rFonts w:ascii="Times New Roman" w:cs="Times New Roman" w:eastAsia="Times New Roman" w:hAnsi="Times New Roman"/>
          <w:i w:val="1"/>
          <w:iCs w:val="1"/>
          <w:rtl w:val="0"/>
        </w:rPr>
        <w:t xml:space="preserve">The Journal of Portfolio Management, 17</w:t>
      </w:r>
      <w:r w:rsidDel="00000000" w:rsidR="00000000" w:rsidRPr="00000000">
        <w:rPr>
          <w:rFonts w:ascii="Times New Roman" w:cs="Times New Roman" w:eastAsia="Times New Roman" w:hAnsi="Times New Roman"/>
          <w:rtl w:val="0"/>
        </w:rPr>
        <w:t xml:space="preserve">(4), 27–31. https://doi.org/10.3905/jpm.1991.409343</w:t>
      </w:r>
    </w:p>
    <w:p w:rsidR="00000000" w:rsidDel="00000000" w:rsidP="00000000" w:rsidRDefault="00000000" w:rsidRPr="00000000" w14:paraId="00000260">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https://doi.org/10.3905/jpm.1995.409537</w:t>
      </w:r>
    </w:p>
    <w:p w:rsidR="00000000" w:rsidDel="00000000" w:rsidP="00000000" w:rsidRDefault="00000000" w:rsidRPr="00000000" w14:paraId="00000261">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https://doi.org/10.1016/j.intfin.2022.101601</w:t>
      </w:r>
    </w:p>
    <w:p w:rsidR="00000000" w:rsidDel="00000000" w:rsidP="00000000" w:rsidRDefault="00000000" w:rsidRPr="00000000" w14:paraId="00000262">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63">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https://sdgs.un.org/2030agenda</w:t>
      </w:r>
    </w:p>
    <w:p w:rsidR="00000000" w:rsidDel="00000000" w:rsidP="00000000" w:rsidRDefault="00000000" w:rsidRPr="00000000" w14:paraId="00000264">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https://doi.org/10.1038/s41592-019-0686-2</w:t>
      </w:r>
    </w:p>
    <w:p w:rsidR="00000000" w:rsidDel="00000000" w:rsidP="00000000" w:rsidRDefault="00000000" w:rsidRPr="00000000" w14:paraId="00000265">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Wen, F., Xu, L., Ouyang, G., &amp; Kou, G. (2019). Retail investor attention and stock price crash risk: Evidence from China. </w:t>
      </w:r>
      <w:r w:rsidDel="00000000" w:rsidR="00000000" w:rsidRPr="00000000">
        <w:rPr>
          <w:rFonts w:ascii="Times New Roman" w:cs="Times New Roman" w:eastAsia="Times New Roman" w:hAnsi="Times New Roman"/>
          <w:i w:val="1"/>
          <w:iCs w:val="1"/>
          <w:rtl w:val="0"/>
        </w:rPr>
        <w:t xml:space="preserve">International Review of Financial Analysis, 65</w:t>
      </w:r>
      <w:r w:rsidDel="00000000" w:rsidR="00000000" w:rsidRPr="00000000">
        <w:rPr>
          <w:rFonts w:ascii="Times New Roman" w:cs="Times New Roman" w:eastAsia="Times New Roman" w:hAnsi="Times New Roman"/>
          <w:rtl w:val="0"/>
        </w:rPr>
        <w:t xml:space="preserve">, Article 101376. https://doi.org/10.1016/j.irfa.2019.101376</w:t>
      </w:r>
    </w:p>
    <w:p w:rsidR="00000000" w:rsidDel="00000000" w:rsidP="00000000" w:rsidRDefault="00000000" w:rsidRPr="00000000" w14:paraId="00000266">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67">
      <w:pPr>
        <w:spacing w:after="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bookmarkStart w:colFirst="0" w:colLast="0" w:name="ryqmjiccbbcx" w:id="1"/>
    <w:bookmarkEnd w:id="1"/>
    <w:p w:rsidR="00000000" w:rsidDel="00000000" w:rsidP="00000000" w:rsidRDefault="00000000" w:rsidRPr="00000000" w14:paraId="00000268">
      <w:pPr>
        <w:pStyle w:val="Heading1"/>
        <w:pageBreakBefore w:val="1"/>
        <w:spacing w:after="120" w:before="240" w:line="480" w:lineRule="auto"/>
        <w:jc w:val="left"/>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9">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covers every statistic reported in a numbered table or stated as a headline figure in the Findings, so that any number in this paper can be traced to the exact function that produced it and the exact data that function was given. All function names refer to research_analysis.py unless another file is named. “Baseline 27” means the 27 trades whose entry candle indices are listed in the Findings.</w:t>
      </w:r>
    </w:p>
    <w:p w:rsidR="00000000" w:rsidDel="00000000" w:rsidP="00000000" w:rsidRDefault="00000000" w:rsidRPr="00000000" w14:paraId="000002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C">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p w:rsidR="00000000" w:rsidDel="00000000" w:rsidP="00000000" w:rsidRDefault="00000000" w:rsidRPr="00000000" w14:paraId="0000026D">
      <w:pPr>
        <w:spacing w:after="0" w:line="12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100"/>
        <w:gridCol w:w="1200"/>
        <w:gridCol w:w="2200"/>
        <w:gridCol w:w="1400"/>
        <w:gridCol w:w="2460"/>
        <w:tblGridChange w:id="0">
          <w:tblGrid>
            <w:gridCol w:w="2100"/>
            <w:gridCol w:w="1200"/>
            <w:gridCol w:w="2200"/>
            <w:gridCol w:w="1400"/>
            <w:gridCol w:w="24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Reported value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Where it appears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Producing function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Library or custom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Exact input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8,767 candles; 4-hour uniform spacing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B, Figure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 loader and gap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Binance get_klines, BTCUSDT, 4h, 2022-01-01 08:00 to 2026-01-01 08:00, timestamps shifted +8h; 8,767 rows, 8,766 intervals all equal to four hours, no duplicates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Per-trade log for the 27 baseline trades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Appendix D, Table 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Backtest engine export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trade records including the five criterion flags; every Findings statistic naming the baseline 27 is recomputable from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 trades, 19 wins, 70.37%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Backtest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8,767-candle series, all parameters as in Table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 = 0.0261 one-sided; 0.0522 two-sided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binomial_test() :2773, wrapping scipy.stats.binomtest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 = 27, k = 19, null p = 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point +30.3065%, CI [+5.9866%, +54.9866%]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bootstrap_resample() :2877, driven by run_bootstrap_ci() :3167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Percentage returns of the baseline 27; B = 10,000; resample size n = 27; seed = 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Average-return CI [+0.2217%, +2.0365%]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as above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input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99.25% of resamples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as above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input; artifact field records 0.75% of resamples at or below zero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 cross-check CI [+7.48%, +54.46%]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computeOwnBootstrapCI() in dashboard-v2/src/components/stats/statsCompute.ts:161, using mulberry32() at statMath.ts:412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independent TypeScript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baseline 27 trades; B = 2,000; seed = 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Regime tables, both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Tables 4 and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Regime tagging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27, tagged by calendar year and by drawdown from the $69,000 high of 2021-11-10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Pearson r = +0.4907, t = 2.82, p ≈ 0.0094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Regime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pearson_correlation() :2928, wrapping scipy.stats.pearsonr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 time in candles versus percentage return, baseline 27; recomputed value r = 0.490698, p = 0.009356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Spearman ρ = +0.4797, p ≈ 0.0113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Regime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spearman_correlation() :2954, wrapping scipy.stats.spearmanr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input; recomputed value ρ = 0.479728, p = 0.011335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Blended-sleeve Sharpe, Sortino, drawdown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sharpe_sortino_ratios() :3068 and max_drawdown_pct() :3044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(Formulas 3 and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Blended equity curve, 210 weekly contributions, 2022 to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Three-arm gross 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run_benchmark_vs_passive() :4319, calling :3068 and :3044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(Formulas 3 and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Each arm’s own equity curve, $10,000 start, 2022-01-01 to 2026-01-01, annualization matched per arm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Three-arm fee-adjusted 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as above, fee-adjusted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(Formulas 3 and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window; round-trip drag per trade for the strategy, one-sided buy markup for the passive arms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Three-arm formulation-window 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as above, formulation-period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 (Formulas 3 and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2018-01-01 to 2022-01-01 window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Six cost scenarios, win rates, p-values, flipped trades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Fee and slippage sweep, re-calling binomial_test() :2773 per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 for each p-value; custom for the cost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27 with each scenario’s cost subtracted per trade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Forward test: 4 trades, 25.00%, −3.45%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Frozen backtest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BTCUSDT 4h, 2026-01-01 to 2026-07-31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Window comparison, p = 0.2122 / 0.0261 / 0.0407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binomial_test() :2773 per 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Each window’s own trade set: n = 25, n = 27, n = 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Backfill check: 27/27 matched, max difference 0.0000000000%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Out-of-sample subsection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Regression comparison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2018-extended run versus locked 2022 to 2026 run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No-lookahead: 180/180 truncation checks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Truncation-equality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ATR(14), ATR(200), fixed KDJ(9,3,3) recomputed on truncated series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Fair-Value-Gap-true or displacement-true Order Blocks reading past their own confirmation candle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 audit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detected Order Blocks over the primary window</w:t>
            </w:r>
            <w:r w:rsidDel="00000000" w:rsidR="00000000" w:rsidRPr="00000000">
              <w:rPr>
                <w:rtl w:val="0"/>
              </w:rPr>
            </w:r>
          </w:p>
        </w:tc>
      </w:tr>
    </w:tbl>
    <w:p w:rsidR="00000000" w:rsidDel="00000000" w:rsidP="00000000" w:rsidRDefault="00000000" w:rsidRPr="00000000" w14:paraId="000002D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in this table was recomputed from the exported trade log during final preparation and agreed with the reported figure to the precision printed in this paper.</w:t>
      </w:r>
      <w:r w:rsidDel="00000000" w:rsidR="00000000" w:rsidRPr="00000000">
        <w:rPr>
          <w:rtl w:val="0"/>
        </w:rPr>
      </w:r>
    </w:p>
    <w:p w:rsidR="00000000" w:rsidDel="00000000" w:rsidP="00000000" w:rsidRDefault="00000000" w:rsidRPr="00000000" w14:paraId="000002DD">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F">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E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formulas below are reproduced in LaTeX source form so that a reader can reproduce the exact expression rather than re-key it from a rendered image. Formula numbering runs 1, 2, and 3; there is no Formula 4.</w:t>
      </w:r>
    </w:p>
    <w:p w:rsidR="00000000" w:rsidDel="00000000" w:rsidP="00000000" w:rsidRDefault="00000000" w:rsidRPr="00000000" w14:paraId="000002E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 1. Percentile bootstrap confidence interval.</w:t>
      </w:r>
      <w:r w:rsidDel="00000000" w:rsidR="00000000" w:rsidRPr="00000000">
        <w:rPr>
          <w:rFonts w:ascii="Times New Roman" w:cs="Times New Roman" w:eastAsia="Times New Roman" w:hAnsi="Times New Roman"/>
          <w:rtl w:val="0"/>
        </w:rPr>
        <w:t xml:space="preserve"> Parameters as used: B = 10,000, n = 27, fixed random seed 42, sampling with replacement.</w:t>
      </w:r>
    </w:p>
    <w:p w:rsidR="00000000" w:rsidDel="00000000" w:rsidP="00000000" w:rsidRDefault="00000000" w:rsidRPr="00000000" w14:paraId="000002E2">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 = \sum_{i=1}^{n} r_i^{</w:t>
      </w:r>
      <w:r w:rsidDel="00000000" w:rsidR="00000000" w:rsidRPr="00000000">
        <w:rPr>
          <w:rFonts w:ascii="Times New Roman" w:cs="Times New Roman" w:eastAsia="Times New Roman" w:hAnsi="Times New Roman"/>
          <w:i w:val="1"/>
          <w:iCs w:val="1"/>
          <w:rtl w:val="0"/>
        </w:rPr>
        <w:t xml:space="preserve">(b)}, \qquad \bar{T}^{(b)} = \frac{1}{n}\sum_{i=1}^{n} r_i^{</w:t>
      </w:r>
      <w:r w:rsidDel="00000000" w:rsidR="00000000" w:rsidRPr="00000000">
        <w:rPr>
          <w:rFonts w:ascii="Times New Roman" w:cs="Times New Roman" w:eastAsia="Times New Roman" w:hAnsi="Times New Roman"/>
          <w:rtl w:val="0"/>
        </w:rPr>
        <w:t xml:space="preserve">(b)}, \qquad b = 1,2,\ldots,B</w:t>
      </w:r>
    </w:p>
    <w:p w:rsidR="00000000" w:rsidDel="00000000" w:rsidP="00000000" w:rsidRDefault="00000000" w:rsidRPr="00000000" w14:paraId="000002E3">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CI_{95\%} = \left[\, Q_{2.5}\left(T^{(1)},\ldots,T^{(B)}\right),; Q_{97.5}\left(T^{(1)},\ldots,T^{(B)}\right) \,\right]</w:t>
      </w:r>
    </w:p>
    <w:p w:rsidR="00000000" w:rsidDel="00000000" w:rsidP="00000000" w:rsidRDefault="00000000" w:rsidRPr="00000000" w14:paraId="000002E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 2. Maximum drawdown.</w:t>
      </w:r>
      <w:r w:rsidDel="00000000" w:rsidR="00000000" w:rsidRPr="00000000">
        <w:rPr>
          <w:rtl w:val="0"/>
        </w:rPr>
      </w:r>
    </w:p>
    <w:p w:rsidR="00000000" w:rsidDel="00000000" w:rsidP="00000000" w:rsidRDefault="00000000" w:rsidRPr="00000000" w14:paraId="000002E5">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P_t = \max_{u \leq t} E_u, \qquad DD_t = \frac{E_t - P_t}{P_t}\times 100, \qquad MDD = \min_t DD_t</w:t>
      </w:r>
    </w:p>
    <w:p w:rsidR="00000000" w:rsidDel="00000000" w:rsidP="00000000" w:rsidRDefault="00000000" w:rsidRPr="00000000" w14:paraId="000002E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 3. Sharpe and Sortino ratios.</w:t>
      </w:r>
      <w:r w:rsidDel="00000000" w:rsidR="00000000" w:rsidRPr="00000000">
        <w:rPr>
          <w:rFonts w:ascii="Times New Roman" w:cs="Times New Roman" w:eastAsia="Times New Roman" w:hAnsi="Times New Roman"/>
          <w:rtl w:val="0"/>
        </w:rPr>
        <w:t xml:space="preserve"> Both assume a risk-free rate of zero and, for Sortino, a minimum acceptable return of zero.</w:t>
      </w:r>
    </w:p>
    <w:p w:rsidR="00000000" w:rsidDel="00000000" w:rsidP="00000000" w:rsidRDefault="00000000" w:rsidRPr="00000000" w14:paraId="000002E7">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 \frac{\bar{R}}{s_R}\sqrt{m}</w:t>
      </w:r>
    </w:p>
    <w:p w:rsidR="00000000" w:rsidDel="00000000" w:rsidP="00000000" w:rsidRDefault="00000000" w:rsidRPr="00000000" w14:paraId="000002E8">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\sigma_d = \sqrt{\frac{1}{N}\sum_{t=1}^{N}\left[\min(R_t, 0)\right]^2}, \qquad SoR = \frac{\bar{R}}{\sigma_d}\sqrt{m}</w:t>
      </w:r>
    </w:p>
    <w:p w:rsidR="00000000" w:rsidDel="00000000" w:rsidP="00000000" w:rsidRDefault="00000000" w:rsidRPr="00000000" w14:paraId="000002E9">
      <w:pPr>
        <w:spacing w:after="120" w:before="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SR_{general} = \frac{E[R_a - R_f]}{\sigma_a}\sqrt{m}, \quad \text{with } R_f = 0 \text{ in this study}</w:t>
      </w: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1"/>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EB">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Statement on Software Authorship</w:t>
      </w:r>
      <w:r w:rsidDel="00000000" w:rsidR="00000000" w:rsidRPr="00000000">
        <w:rPr>
          <w:rtl w:val="0"/>
        </w:rPr>
      </w:r>
    </w:p>
    <w:p w:rsidR="00000000" w:rsidDel="00000000" w:rsidP="00000000" w:rsidRDefault="00000000" w:rsidRPr="00000000" w14:paraId="000002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statistical routines described in Section F fall into two groups. Three of the six reported quantities are direct calls into SciPy, a public open-source library, and implement no arithmetic of this project’s own. The remaining three implement standard published formulas, each written independently from public documentation of that formula rather than copied from any particular paper’s or repository’s implementation.</w:t>
      </w: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2EE">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EF">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2F0">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p w:rsidR="00000000" w:rsidDel="00000000" w:rsidP="00000000" w:rsidRDefault="00000000" w:rsidRPr="00000000" w14:paraId="000002F1">
      <w:pPr>
        <w:spacing w:after="0" w:line="120" w:lineRule="auto"/>
        <w:rPr>
          <w:rFonts w:ascii="Times New Roman" w:cs="Times New Roman" w:eastAsia="Times New Roman" w:hAnsi="Times New Roman"/>
        </w:rPr>
      </w:pPr>
      <w:r w:rsidDel="00000000" w:rsidR="00000000" w:rsidRPr="00000000">
        <w:rPr>
          <w:rtl w:val="0"/>
        </w:rPr>
      </w:r>
    </w:p>
    <w:tbl>
      <w:tblPr>
        <w:tblStyle w:val="Table14"/>
        <w:tblW w:w="9357.999999999998"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612"/>
        <w:gridCol w:w="656"/>
        <w:gridCol w:w="1476"/>
        <w:gridCol w:w="1476"/>
        <w:gridCol w:w="831"/>
        <w:gridCol w:w="503"/>
        <w:gridCol w:w="1093"/>
        <w:gridCol w:w="459"/>
        <w:gridCol w:w="459"/>
        <w:gridCol w:w="459"/>
        <w:gridCol w:w="459"/>
        <w:gridCol w:w="459"/>
        <w:gridCol w:w="416"/>
        <w:tblGridChange w:id="0">
          <w:tblGrid>
            <w:gridCol w:w="612"/>
            <w:gridCol w:w="656"/>
            <w:gridCol w:w="1476"/>
            <w:gridCol w:w="1476"/>
            <w:gridCol w:w="831"/>
            <w:gridCol w:w="503"/>
            <w:gridCol w:w="1093"/>
            <w:gridCol w:w="459"/>
            <w:gridCol w:w="459"/>
            <w:gridCol w:w="459"/>
            <w:gridCol w:w="459"/>
            <w:gridCol w:w="459"/>
            <w:gridCol w:w="416"/>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Side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Entry 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Exit 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Return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Bars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Exit reason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Dsp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Lrg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FVG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Swp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Vol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F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2022-02-26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2022-02-27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2022-03-02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2022-03-04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+6.6888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2022-04-23 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2022-04-25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-0.3809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2022-05-31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2022-06-01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+3.2248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2022-06-25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2022-06-26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+0.4433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2022-07-13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2022-07-13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-0.0898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2022-11-16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2022-11-18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+1.2308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2023-03-14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2023-03-14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-4.6544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Stop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2023-04-22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2023-04-23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+0.2507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2023-06-02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2023-06-04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+0.7689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2023-06-18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2023-06-20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3859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2023-10-06 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2023-10-08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3947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2023-10-21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2023-10-22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Stop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4455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2024-01-13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2024-01-15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-1.1458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2024-08-25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2024-08-27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2024-08-29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2024-08-30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+0.3779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2024-10-04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2024-10-06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+1.3806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2024-10-15 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2024-10-16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6366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2024-11-27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2024-11-28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+4.3634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6537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2024-12-25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2024-12-27 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+3.4665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6991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2025-03-11 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2025-03-12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Trailing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2025-03-31 04:00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2025-04-01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+3.5088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2025-08-16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2025-08-18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2025-08-20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2025-08-22 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+2.3789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2025-09-27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2025-09-27 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+0.1264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2025-10-12 08:00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2025-10-14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+4.6233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8596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2025-12-04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2025-12-06 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+3.6503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 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bl>
    <w:p w:rsidR="00000000" w:rsidDel="00000000" w:rsidP="00000000" w:rsidRDefault="00000000" w:rsidRPr="00000000" w14:paraId="0000045E">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net percentage return.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5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Checks a reader can run on this table.</w:t>
      </w:r>
      <w:r w:rsidDel="00000000" w:rsidR="00000000" w:rsidRPr="00000000">
        <w:rPr>
          <w:rFonts w:ascii="Times New Roman" w:cs="Times New Roman" w:eastAsia="Times New Roman" w:hAnsi="Times New Roman"/>
          <w:rtl w:val="0"/>
        </w:rPr>
        <w:t xml:space="preserve"> The Return column contains 19 positive values out of 27, giving the 70.37% win rate in Table 3. Those 27 values sum to +30.3064%, with a mean of +1.1225% and a standard deviation of 2.41%.</w:t>
      </w:r>
    </w:p>
    <w:p w:rsidR="00000000" w:rsidDel="00000000" w:rsidP="00000000" w:rsidRDefault="00000000" w:rsidRPr="00000000" w14:paraId="0000046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Exit-reason distribution.</w:t>
      </w:r>
      <w:r w:rsidDel="00000000" w:rsidR="00000000" w:rsidRPr="00000000">
        <w:rPr>
          <w:rFonts w:ascii="Times New Roman" w:cs="Times New Roman" w:eastAsia="Times New Roman" w:hAnsi="Times New Roman"/>
          <w:rtl w:val="0"/>
        </w:rPr>
        <w:t xml:space="preserve">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61">
      <w:pPr>
        <w:spacing w:after="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1"/>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Appendix E</w:t>
      </w:r>
      <w:r w:rsidDel="00000000" w:rsidR="00000000" w:rsidRPr="00000000">
        <w:rPr>
          <w:rtl w:val="0"/>
        </w:rPr>
      </w:r>
    </w:p>
    <w:p w:rsidR="00000000" w:rsidDel="00000000" w:rsidP="00000000" w:rsidRDefault="00000000" w:rsidRPr="00000000" w14:paraId="00000463">
      <w:pPr>
        <w:pStyle w:val="Heading2"/>
        <w:keepLines w:val="0"/>
        <w:spacing w:after="80" w:line="480" w:lineRule="auto"/>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that a reader with nothing but a phone calculator and Table D1 can check the paper. Every number below is derived only from the 27 rows of Table D1. Nothing here is a new statistic. Each item is one of the six reported quantities, or the arithmetic behind one, worked out step by step.</w:t>
      </w:r>
    </w:p>
    <w:p w:rsidR="00000000" w:rsidDel="00000000" w:rsidP="00000000" w:rsidRDefault="00000000" w:rsidRPr="00000000" w14:paraId="000004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this appendix is a short list of the numbers that cannot be checked this way, and what data would be needed to check them. That list is given plainly rather than left for a reader to discover.</w:t>
      </w:r>
    </w:p>
    <w:p w:rsidR="00000000" w:rsidDel="00000000" w:rsidP="00000000" w:rsidRDefault="00000000" w:rsidRPr="00000000" w14:paraId="00000466">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E1. Win rate, total return, average, and standard deviation</w:t>
      </w:r>
      <w:r w:rsidDel="00000000" w:rsidR="00000000" w:rsidRPr="00000000">
        <w:rPr>
          <w:rtl w:val="0"/>
        </w:rPr>
      </w:r>
    </w:p>
    <w:p w:rsidR="00000000" w:rsidDel="00000000" w:rsidP="00000000" w:rsidRDefault="00000000" w:rsidRPr="00000000" w14:paraId="00000467">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of Table D1. There are 19. Then 19 ÷ 27 = 0.703703…, so 70.37%. This is Table 3.</w:t>
      </w:r>
    </w:p>
    <w:p w:rsidR="00000000" w:rsidDel="00000000" w:rsidP="00000000" w:rsidRDefault="00000000" w:rsidRPr="00000000" w14:paraId="00000468">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net return. Add all 27 values in the Return % column. The total is +30.3064%, reported as +30.31%.</w:t>
      </w:r>
    </w:p>
    <w:p w:rsidR="00000000" w:rsidDel="00000000" w:rsidP="00000000" w:rsidRDefault="00000000" w:rsidRPr="00000000" w14:paraId="00000469">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 30.3064 ÷ 27 = 1.12246…, so +1.1225%.</w:t>
      </w:r>
    </w:p>
    <w:p w:rsidR="00000000" w:rsidDel="00000000" w:rsidP="00000000" w:rsidRDefault="00000000" w:rsidRPr="00000000" w14:paraId="0000046A">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 Subtract 1.1225 from each of the 27 returns, square each result, add them, divide by 26, and take the square root. This gives 2.4101, reported as 2.41%. Note the divisor is 26, not 27, because this is the sample standard deviation.</w:t>
      </w:r>
    </w:p>
    <w:p w:rsidR="00000000" w:rsidDel="00000000" w:rsidP="00000000" w:rsidRDefault="00000000" w:rsidRPr="00000000" w14:paraId="0000046B">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E2. The binomial p-value</w:t>
      </w:r>
      <w:r w:rsidDel="00000000" w:rsidR="00000000" w:rsidRPr="00000000">
        <w:rPr>
          <w:rtl w:val="0"/>
        </w:rPr>
      </w:r>
    </w:p>
    <w:p w:rsidR="00000000" w:rsidDel="00000000" w:rsidP="00000000" w:rsidRDefault="00000000" w:rsidRPr="00000000" w14:paraId="0000046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binomial p-value is the sum of nine terms divided by 2 to the power 27. The denominator is 2²⁷ = 134,217,728. The nine numerators are the binomial coefficients "27 choose k" for k from 19 to 27, listed here so no coefficient needs to be worked out by hand.</w:t>
      </w:r>
    </w:p>
    <w:p w:rsidR="00000000" w:rsidDel="00000000" w:rsidP="00000000" w:rsidRDefault="00000000" w:rsidRPr="00000000" w14:paraId="0000046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E1</w:t>
      </w:r>
      <w:r w:rsidDel="00000000" w:rsidR="00000000" w:rsidRPr="00000000">
        <w:rPr>
          <w:rtl w:val="0"/>
        </w:rPr>
      </w:r>
    </w:p>
    <w:p w:rsidR="00000000" w:rsidDel="00000000" w:rsidP="00000000" w:rsidRDefault="00000000" w:rsidRPr="00000000" w14:paraId="0000046E">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p w:rsidR="00000000" w:rsidDel="00000000" w:rsidP="00000000" w:rsidRDefault="00000000" w:rsidRPr="00000000" w14:paraId="0000046F">
      <w:pPr>
        <w:spacing w:after="0" w:line="12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 (wins)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27 choose 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 (wins)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27 choose 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2,220,075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2,925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888,030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351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296,010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80,730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17,550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3,505,699</w:t>
            </w:r>
            <w:r w:rsidDel="00000000" w:rsidR="00000000" w:rsidRPr="00000000">
              <w:rPr>
                <w:rtl w:val="0"/>
              </w:rPr>
            </w:r>
          </w:p>
        </w:tc>
      </w:tr>
    </w:tbl>
    <w:p w:rsidR="00000000" w:rsidDel="00000000" w:rsidP="00000000" w:rsidRDefault="00000000" w:rsidRPr="00000000" w14:paraId="0000048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Adding the nine coefficients gives 3,505,699. Then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8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10. For 17 wins, add the coefficients for k = 17 and k = 18, which are 8,436,285 and 4,686,825, to the 3,505,699 above. The total is 16,628,809, and 16,628,809 ÷ 134,217,728 = 0.12389…, which is p = 0.1239. For 15 wins, add the coefficients for k = 15 and k = 16, which are 17,383,860 and 13,037,895. The total is 47,050,564, and 47,050,564 ÷ 134,217,728 = 0.35055…, which is p = 0.3506.</w:t>
      </w:r>
    </w:p>
    <w:p w:rsidR="00000000" w:rsidDel="00000000" w:rsidP="00000000" w:rsidRDefault="00000000" w:rsidRPr="00000000" w14:paraId="0000048A">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E3. Final capital from $10,000</w:t>
      </w:r>
      <w:r w:rsidDel="00000000" w:rsidR="00000000" w:rsidRPr="00000000">
        <w:rPr>
          <w:rtl w:val="0"/>
        </w:rPr>
      </w:r>
    </w:p>
    <w:p w:rsidR="00000000" w:rsidDel="00000000" w:rsidP="00000000" w:rsidRDefault="00000000" w:rsidRPr="00000000" w14:paraId="0000048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7 adds the 27 returns. The Final capital column compounds them. To compound, divide each return by 100, add 1, and multiply all 27 results together. That product is 1.341777, so the compounded return is +34.1777%, reported as +34.18%, and $10,000 × 1.341777 = $13,417.77.</w:t>
      </w:r>
    </w:p>
    <w:p w:rsidR="00000000" w:rsidDel="00000000" w:rsidP="00000000" w:rsidRDefault="00000000" w:rsidRPr="00000000" w14:paraId="000004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net-of-cost row in Table 8, subtract 0.20 from each of the 27 returns first, then compound the same way. The product is 1.271900, giving +27.19% and $12,719.00. The paper reports $12,719.01. The one-cent gap comes from Table D1 rounding each return to four decimals; the engine carries more.</w:t>
      </w:r>
    </w:p>
    <w:p w:rsidR="00000000" w:rsidDel="00000000" w:rsidP="00000000" w:rsidRDefault="00000000" w:rsidRPr="00000000" w14:paraId="0000048D">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E4. Time in market</w:t>
      </w:r>
      <w:r w:rsidDel="00000000" w:rsidR="00000000" w:rsidRPr="00000000">
        <w:rPr>
          <w:rtl w:val="0"/>
        </w:rPr>
      </w:r>
    </w:p>
    <w:p w:rsidR="00000000" w:rsidDel="00000000" w:rsidP="00000000" w:rsidRDefault="00000000" w:rsidRPr="00000000" w14:paraId="000004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D1. The total is 231 candles held. The window has 8,767 candles. Then 231 ÷ 8,767 = 0.026349…, which is the 2.6349% in the note to Table 7, reported as 2.63%.</w:t>
      </w:r>
    </w:p>
    <w:p w:rsidR="00000000" w:rsidDel="00000000" w:rsidP="00000000" w:rsidRDefault="00000000" w:rsidRPr="00000000" w14:paraId="0000048F">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E5. The calendar regime table</w:t>
      </w:r>
      <w:r w:rsidDel="00000000" w:rsidR="00000000" w:rsidRPr="00000000">
        <w:rPr>
          <w:rtl w:val="0"/>
        </w:rPr>
      </w:r>
    </w:p>
    <w:p w:rsidR="00000000" w:rsidDel="00000000" w:rsidP="00000000" w:rsidRDefault="00000000" w:rsidRPr="00000000" w14:paraId="0000049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splits the same 27 trades by the year of the entry time in Table D1. Nothing else is needed.</w:t>
      </w:r>
    </w:p>
    <w:p w:rsidR="00000000" w:rsidDel="00000000" w:rsidP="00000000" w:rsidRDefault="00000000" w:rsidRPr="00000000" w14:paraId="00000491">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E2</w:t>
      </w:r>
      <w:r w:rsidDel="00000000" w:rsidR="00000000" w:rsidRPr="00000000">
        <w:rPr>
          <w:rtl w:val="0"/>
        </w:rPr>
      </w:r>
    </w:p>
    <w:p w:rsidR="00000000" w:rsidDel="00000000" w:rsidP="00000000" w:rsidRDefault="00000000" w:rsidRPr="00000000" w14:paraId="00000492">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D1</w:t>
      </w:r>
      <w:r w:rsidDel="00000000" w:rsidR="00000000" w:rsidRPr="00000000">
        <w:rPr>
          <w:rtl w:val="0"/>
        </w:rPr>
      </w:r>
    </w:p>
    <w:p w:rsidR="00000000" w:rsidDel="00000000" w:rsidP="00000000" w:rsidRDefault="00000000" w:rsidRPr="00000000" w14:paraId="00000493">
      <w:pPr>
        <w:spacing w:after="0" w:line="120"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600"/>
        <w:gridCol w:w="900"/>
        <w:gridCol w:w="900"/>
        <w:gridCol w:w="1500"/>
        <w:gridCol w:w="1500"/>
        <w:gridCol w:w="1960"/>
        <w:tblGridChange w:id="0">
          <w:tblGrid>
            <w:gridCol w:w="2600"/>
            <w:gridCol w:w="900"/>
            <w:gridCol w:w="900"/>
            <w:gridCol w:w="1500"/>
            <w:gridCol w:w="1500"/>
            <w:gridCol w:w="196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9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Year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Trades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Sum of returns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Share of +30.3064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2022 (indices 335 to 1913)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 7 = 57.14%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+10.4525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10.4525 ÷ 30.3064 = 34.5%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2023 (indices 2624 to 3947)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 6 = 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−5.3947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−5.3947 ÷ 30.3064 = −17.8%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2024–2025 (indices 4455 to 8596)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 ÷ 14 = 85.71%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+25.2486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25.2486 ÷ 30.3064 = 83.3%</w:t>
            </w:r>
            <w:r w:rsidDel="00000000" w:rsidR="00000000" w:rsidRPr="00000000">
              <w:rPr>
                <w:rtl w:val="0"/>
              </w:rPr>
            </w:r>
          </w:p>
        </w:tc>
      </w:tr>
    </w:tbl>
    <w:p w:rsidR="00000000" w:rsidDel="00000000" w:rsidP="00000000" w:rsidRDefault="00000000" w:rsidRPr="00000000" w14:paraId="000004A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Gungsuh" w:cs="Gungsuh" w:eastAsia="Gungsuh" w:hAnsi="Gungsuh"/>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AD">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E6. The three-trade concentration</w:t>
      </w:r>
      <w:r w:rsidDel="00000000" w:rsidR="00000000" w:rsidRPr="00000000">
        <w:rPr>
          <w:rtl w:val="0"/>
        </w:rPr>
      </w:r>
    </w:p>
    <w:p w:rsidR="00000000" w:rsidDel="00000000" w:rsidP="00000000" w:rsidRDefault="00000000" w:rsidRPr="00000000" w14:paraId="000004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Then 15.6755 ÷ 30.3064 = 0.51723…, which is the 51.7% quoted in the Findings and the Limitations.</w:t>
      </w:r>
    </w:p>
    <w:p w:rsidR="00000000" w:rsidDel="00000000" w:rsidP="00000000" w:rsidRDefault="00000000" w:rsidRPr="00000000" w14:paraId="000004AF">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E7. The six cost scenarios</w:t>
      </w:r>
      <w:r w:rsidDel="00000000" w:rsidR="00000000" w:rsidRPr="00000000">
        <w:rPr>
          <w:rtl w:val="0"/>
        </w:rPr>
      </w:r>
    </w:p>
    <w:p w:rsidR="00000000" w:rsidDel="00000000" w:rsidP="00000000" w:rsidRDefault="00000000" w:rsidRPr="00000000" w14:paraId="000004B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10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B1">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E3</w:t>
      </w:r>
      <w:r w:rsidDel="00000000" w:rsidR="00000000" w:rsidRPr="00000000">
        <w:rPr>
          <w:rtl w:val="0"/>
        </w:rPr>
      </w:r>
    </w:p>
    <w:p w:rsidR="00000000" w:rsidDel="00000000" w:rsidP="00000000" w:rsidRDefault="00000000" w:rsidRPr="00000000" w14:paraId="000004B2">
      <w:pPr>
        <w:keepNext w:val="1"/>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10 from Table D1</w:t>
      </w:r>
      <w:r w:rsidDel="00000000" w:rsidR="00000000" w:rsidRPr="00000000">
        <w:rPr>
          <w:rtl w:val="0"/>
        </w:rPr>
      </w:r>
    </w:p>
    <w:p w:rsidR="00000000" w:rsidDel="00000000" w:rsidP="00000000" w:rsidRDefault="00000000" w:rsidRPr="00000000" w14:paraId="000004B3">
      <w:pPr>
        <w:spacing w:after="0" w:line="120" w:lineRule="auto"/>
        <w:rPr>
          <w:rFonts w:ascii="Times New Roman" w:cs="Times New Roman" w:eastAsia="Times New Roman" w:hAnsi="Times New Roman"/>
        </w:rPr>
      </w:pPr>
      <w:r w:rsidDel="00000000" w:rsidR="00000000" w:rsidRPr="00000000">
        <w:rPr>
          <w:rtl w:val="0"/>
        </w:rPr>
      </w:r>
    </w:p>
    <w:tbl>
      <w:tblPr>
        <w:tblStyle w:val="Table17"/>
        <w:tblW w:w="9360.000000000002"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08"/>
        <w:gridCol w:w="3085"/>
        <w:gridCol w:w="2234"/>
        <w:gridCol w:w="957"/>
        <w:gridCol w:w="1276"/>
        <w:tblGridChange w:id="0">
          <w:tblGrid>
            <w:gridCol w:w="1808"/>
            <w:gridCol w:w="3085"/>
            <w:gridCol w:w="2234"/>
            <w:gridCol w:w="957"/>
            <w:gridCol w:w="1276"/>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Round-trip cost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b w:val="1"/>
                <w:bCs w:val="1"/>
                <w:sz w:val="20"/>
                <w:szCs w:val="20"/>
                <w:rtl w:val="0"/>
              </w:rPr>
              <w:t xml:space="preserve">New total = 30.3064 − (27 × cost)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Trades below the cost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New wins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 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30.3064 − 0 = +30.3064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F">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30.3064 − 2.70 = +27.6064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30.3064 − 3.78 = +26.5264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7938, 8188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9">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30.3064 − 5.40 = +24.9064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7938, 8188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30.3064 − 6.48 = +23.8264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7938, 8188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62.96%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30.3064 − 10.80 = +19.5064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2859, 5825, 7938, 8188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55.56%</w:t>
            </w:r>
            <w:r w:rsidDel="00000000" w:rsidR="00000000" w:rsidRPr="00000000">
              <w:rPr>
                <w:rtl w:val="0"/>
              </w:rPr>
            </w:r>
          </w:p>
        </w:tc>
      </w:tr>
    </w:tbl>
    <w:p w:rsidR="00000000" w:rsidDel="00000000" w:rsidP="00000000" w:rsidRDefault="00000000" w:rsidRPr="00000000" w14:paraId="000004D7">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D1 is +0.1196 at index 7938, then +0.1264 at 8188, +0.2507 at 2859, and +0.3779 at 5825. That ordering is what decides which trades flip at each cost level. The p-value for each row comes from E2.</w:t>
      </w:r>
      <w:r w:rsidDel="00000000" w:rsidR="00000000" w:rsidRPr="00000000">
        <w:rPr>
          <w:rtl w:val="0"/>
        </w:rPr>
      </w:r>
    </w:p>
    <w:p w:rsidR="00000000" w:rsidDel="00000000" w:rsidP="00000000" w:rsidRDefault="00000000" w:rsidRPr="00000000" w14:paraId="000004D8">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E8. The correlation and its t-value</w:t>
      </w:r>
      <w:r w:rsidDel="00000000" w:rsidR="00000000" w:rsidRPr="00000000">
        <w:rPr>
          <w:rtl w:val="0"/>
        </w:rPr>
      </w:r>
    </w:p>
    <w:p w:rsidR="00000000" w:rsidDel="00000000" w:rsidP="00000000" w:rsidRDefault="00000000" w:rsidRPr="00000000" w14:paraId="000004D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D1.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w:t>
      </w:r>
    </w:p>
    <w:p w:rsidR="00000000" w:rsidDel="00000000" w:rsidP="00000000" w:rsidRDefault="00000000" w:rsidRPr="00000000" w14:paraId="000004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t-value follows from r alone:</w:t>
      </w:r>
    </w:p>
    <w:p w:rsidR="00000000" w:rsidDel="00000000" w:rsidP="00000000" w:rsidRDefault="00000000" w:rsidRPr="00000000" w14:paraId="000004DB">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t = r × √(n − 2) ÷ √(1 − r²) = 0.4907 × √25 ÷ √(1 − 0.2408)</m:t>
        </m:r>
      </m:oMath>
      <w:r w:rsidDel="00000000" w:rsidR="00000000" w:rsidRPr="00000000">
        <w:rPr>
          <w:rtl w:val="0"/>
        </w:rPr>
      </w:r>
    </w:p>
    <w:p w:rsidR="00000000" w:rsidDel="00000000" w:rsidP="00000000" w:rsidRDefault="00000000" w:rsidRPr="00000000" w14:paraId="000004DC">
      <w:pPr>
        <w:spacing w:after="120" w:before="120" w:line="480" w:lineRule="auto"/>
        <w:jc w:val="center"/>
        <w:rPr>
          <w:rFonts w:ascii="Times New Roman" w:cs="Times New Roman" w:eastAsia="Times New Roman" w:hAnsi="Times New Roman"/>
        </w:rPr>
      </w:pPr>
      <m:oMath>
        <m:r>
          <w:rPr>
            <w:rFonts w:ascii="Times New Roman" w:cs="Times New Roman" w:eastAsia="Times New Roman" w:hAnsi="Times New Roman"/>
          </w:rPr>
          <m:t xml:space="preserve"> = 2.4535 ÷ 0.8713 = 2.82</m:t>
        </m:r>
      </m:oMath>
      <w:r w:rsidDel="00000000" w:rsidR="00000000" w:rsidRPr="00000000">
        <w:rPr>
          <w:rtl w:val="0"/>
        </w:rPr>
      </w:r>
    </w:p>
    <w:p w:rsidR="00000000" w:rsidDel="00000000" w:rsidP="00000000" w:rsidRDefault="00000000" w:rsidRPr="00000000" w14:paraId="000004DD">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with df = n − 2 = 25. Spearman’s ρ uses the same two columns after replacing each value with its rank, giving ρ = 0.479728, reported as +0.4797. The p-values attached to both, 0.0094 and 0.0113, come from SciPy and are not hand-computable; see E10.</w:t>
      </w:r>
      <w:r w:rsidDel="00000000" w:rsidR="00000000" w:rsidRPr="00000000">
        <w:rPr>
          <w:rtl w:val="0"/>
        </w:rPr>
      </w:r>
    </w:p>
    <w:p w:rsidR="00000000" w:rsidDel="00000000" w:rsidP="00000000" w:rsidRDefault="00000000" w:rsidRPr="00000000" w14:paraId="000004DE">
      <w:pPr>
        <w:pStyle w:val="Heading3"/>
        <w:keepLines w:val="0"/>
        <w:spacing w:after="80" w:line="480"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E9. Dataset and schedule arithmetic</w:t>
      </w:r>
      <w:r w:rsidDel="00000000" w:rsidR="00000000" w:rsidRPr="00000000">
        <w:rPr>
          <w:rtl w:val="0"/>
        </w:rPr>
      </w:r>
    </w:p>
    <w:p w:rsidR="00000000" w:rsidDel="00000000" w:rsidP="00000000" w:rsidRDefault="00000000" w:rsidRPr="00000000" w14:paraId="000004DF">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Candle count. 1,461 days × 6 candles per day = 8,766 intervals, plus the final stored row = 8,767 rows.</w:t>
      </w:r>
    </w:p>
    <w:p w:rsidR="00000000" w:rsidDel="00000000" w:rsidP="00000000" w:rsidRDefault="00000000" w:rsidRPr="00000000" w14:paraId="000004E0">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contribution. $10,000 ÷ 210 weeks = $47.6190. For the 2018 window, $10,000 ÷ 209 = $47.8469.</w:t>
      </w:r>
    </w:p>
    <w:p w:rsidR="00000000" w:rsidDel="00000000" w:rsidP="00000000" w:rsidRDefault="00000000" w:rsidRPr="00000000" w14:paraId="000004E1">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Annualization factor for 4-hour bars. 6 × 365.25 = 2,191.5. For weekly figures it is 52.</w:t>
      </w:r>
    </w:p>
    <w:p w:rsidR="00000000" w:rsidDel="00000000" w:rsidP="00000000" w:rsidRDefault="00000000" w:rsidRPr="00000000" w14:paraId="000004E2">
      <w:pPr>
        <w:spacing w:after="0" w:line="48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Combined window in Table 12. 25 + 27 + 4 = 56 trades. 15 + 19 + 1 = 35 wins, and 35 ÷ 56 = 62.50%. Returns: +21.82 + 30.31 − 3.45 = +48.68%.</w:t>
      </w:r>
      <w:r w:rsidDel="00000000" w:rsidR="00000000" w:rsidRPr="00000000">
        <w:rPr>
          <w:rtl w:val="0"/>
        </w:rPr>
      </w:r>
    </w:p>
    <w:p w:rsidR="00000000" w:rsidDel="00000000" w:rsidP="00000000" w:rsidRDefault="00000000" w:rsidRPr="00000000" w14:paraId="000004E3">
      <w:pPr>
        <w:pStyle w:val="Heading3"/>
        <w:keepLines w:val="0"/>
        <w:spacing w:after="80" w:line="480" w:lineRule="auto"/>
        <w:rPr>
          <w:rFonts w:ascii="Times New Roman" w:cs="Times New Roman" w:eastAsia="Times New Roman" w:hAnsi="Times New Roman"/>
          <w:b w:val="0"/>
          <w:bCs w:val="0"/>
          <w:color w:val="000000"/>
        </w:rPr>
      </w:pPr>
      <w:bookmarkStart w:colFirst="0" w:colLast="0" w:name="_tsws6665jty1" w:id="2"/>
      <w:bookmarkEnd w:id="2"/>
      <w:r w:rsidDel="00000000" w:rsidR="00000000" w:rsidRPr="00000000">
        <w:rPr>
          <w:rFonts w:ascii="Times New Roman" w:cs="Times New Roman" w:eastAsia="Times New Roman" w:hAnsi="Times New Roman"/>
          <w:color w:val="000000"/>
          <w:rtl w:val="0"/>
        </w:rPr>
        <w:t xml:space="preserve">E10. What cannot be checked by hand, and why</w:t>
      </w:r>
      <w:r w:rsidDel="00000000" w:rsidR="00000000" w:rsidRPr="00000000">
        <w:rPr>
          <w:rtl w:val="0"/>
        </w:rPr>
      </w:r>
    </w:p>
    <w:p w:rsidR="00000000" w:rsidDel="00000000" w:rsidP="00000000" w:rsidRDefault="00000000" w:rsidRPr="00000000" w14:paraId="000004E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D1 does not contain. They are listed here so that no reader assumes an omission.</w:t>
      </w:r>
    </w:p>
    <w:p w:rsidR="00000000" w:rsidDel="00000000" w:rsidP="00000000" w:rsidRDefault="00000000" w:rsidRPr="00000000" w14:paraId="000004E5">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are the 27 returns and the seed 42, both given, but the arithmetic is not hand-scale.</w:t>
      </w:r>
    </w:p>
    <w:p w:rsidR="00000000" w:rsidDel="00000000" w:rsidP="00000000" w:rsidRDefault="00000000" w:rsidRPr="00000000" w14:paraId="000004E6">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the Sortino ratio, and maximum drawdown in Tables 6 through 9. These are computed from full equity curves — one value per bar or per contribution week — not from trade returns. The construction is fully specified in Section E, but the underlying price series is needed to rebuild them.</w:t>
      </w:r>
    </w:p>
    <w:p w:rsidR="00000000" w:rsidDel="00000000" w:rsidP="00000000" w:rsidRDefault="00000000" w:rsidRPr="00000000" w14:paraId="000004E7">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rsidR="00000000" w:rsidDel="00000000" w:rsidP="00000000" w:rsidRDefault="00000000" w:rsidRPr="00000000" w14:paraId="000004E8">
      <w:pPr>
        <w:spacing w:after="0" w:line="48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Table 5,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E9">
      <w:p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9, the 2018 to 2022 window, and Table 11, the 2026 forward test. These use trade sets that are not printed in this paper.</w:t>
      </w:r>
    </w:p>
    <w:p w:rsidR="00000000" w:rsidDel="00000000" w:rsidP="00000000" w:rsidRDefault="00000000" w:rsidRPr="00000000" w14:paraId="000004E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EB">
      <w:pPr>
        <w:spacing w:after="12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