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VOUZA AI</w:t>
      </w:r>
    </w:p>
    <w:p>
      <w:pPr>
        <w:jc w:val="center"/>
      </w:pPr>
      <w:r>
        <w:rPr>
          <w:b/>
          <w:sz w:val="34"/>
        </w:rPr>
        <w:t>AI Agent Subscription, Customer Journey &amp; Implementation Playbook</w:t>
      </w:r>
    </w:p>
    <w:p>
      <w:pPr>
        <w:jc w:val="center"/>
      </w:pPr>
      <w:r>
        <w:rPr>
          <w:sz w:val="24"/>
        </w:rPr>
        <w:t>Singapore &amp; Malaysia Markets</w:t>
      </w:r>
    </w:p>
    <w:p/>
    <w:p>
      <w:pPr>
        <w:jc w:val="center"/>
      </w:pPr>
      <w:r>
        <w:rPr>
          <w:i/>
        </w:rPr>
        <w:t>Version 1.0 — September 2026</w:t>
      </w:r>
    </w:p>
    <w:p/>
    <w:p>
      <w:pPr>
        <w:jc w:val="center"/>
      </w:pPr>
      <w:r>
        <w:rPr>
          <w:b/>
        </w:rPr>
        <w:t>Purpose:</w:t>
      </w:r>
      <w:r>
        <w:t xml:space="preserve"> Define the customer-facing pricing, consultation-first sales process, pre-payment guidance, post-payment implementation process, usage policy, customer agreement and operational rules for Vouza AI Agents.</w:t>
      </w:r>
    </w:p>
    <w:p>
      <w:r>
        <w:br w:type="page"/>
      </w:r>
    </w:p>
    <w:p>
      <w:pPr>
        <w:pStyle w:val="Heading1"/>
      </w:pPr>
      <w:r>
        <w:t>1. Executive Summary</w:t>
      </w:r>
    </w:p>
    <w:p>
      <w:r>
        <w:t>Vouza AI is positioned as a consultation-led AI Agent implementation and managed-service business. Subscriptions are charged per AI Agent, not per company or project. A single customer project may therefore contain multiple AI Agents, each with its own monthly subscription. A one-time implementation and setup fee is charged once per customer account, not per Agent — additional Agents added under the same account do not repeat the setup fee.</w:t>
      </w:r>
    </w:p>
    <w:p>
      <w:r>
        <w:t>Customers are encouraged to prepare their business workflow before payment. They may use ChatGPT, Claude or Gemini to create a draft workflow, which Vouza then reviews, validates, refines and converts into an implementable AI Agent solution.</w:t>
      </w:r>
    </w:p>
    <w:p>
      <w:r>
        <w:t>The customer should first speak with Vouza Customer Service / AI Workflow Consultant. Vouza recommends the appropriate package, number of Agents, languages, integrations and implementation scope before the customer subscribes.</w:t>
      </w:r>
    </w:p>
    <w:p>
      <w:pPr>
        <w:pStyle w:val="Heading2"/>
      </w:pPr>
      <w:r>
        <w:t>Core positioning</w:t>
      </w:r>
    </w:p>
    <w:p>
      <w:pPr>
        <w:pStyle w:val="ListBullet"/>
        <w:spacing w:after="40"/>
      </w:pPr>
      <w:r>
        <w:t>Vouza sells business workflow solutions, not simply a chatbot.</w:t>
      </w:r>
    </w:p>
    <w:p>
      <w:pPr>
        <w:pStyle w:val="ListBullet"/>
        <w:spacing w:after="40"/>
      </w:pPr>
      <w:r>
        <w:t>Subscription pricing is per AI Agent.</w:t>
      </w:r>
    </w:p>
    <w:p>
      <w:pPr>
        <w:pStyle w:val="ListBullet"/>
        <w:spacing w:after="40"/>
      </w:pPr>
      <w:r>
        <w:t>One company/project can subscribe to multiple AI Agents.</w:t>
      </w:r>
    </w:p>
    <w:p>
      <w:pPr>
        <w:pStyle w:val="ListBullet"/>
        <w:spacing w:after="40"/>
      </w:pPr>
      <w:r>
        <w:t>One-time implementation/setup fee applies per AI Agent.</w:t>
      </w:r>
    </w:p>
    <w:p>
      <w:pPr>
        <w:pStyle w:val="ListBullet"/>
        <w:spacing w:after="40"/>
      </w:pPr>
      <w:r>
        <w:t>Consultation comes before subscription whenever the workflow or scope is unclear.</w:t>
      </w:r>
    </w:p>
    <w:p>
      <w:pPr>
        <w:pStyle w:val="ListBullet"/>
        <w:spacing w:after="40"/>
      </w:pPr>
      <w:r>
        <w:t>Customer-prepared AI workflow drafts can accelerate consultation and implementation.</w:t>
      </w:r>
    </w:p>
    <w:p>
      <w:pPr>
        <w:pStyle w:val="ListBullet"/>
        <w:spacing w:after="40"/>
      </w:pPr>
      <w:r>
        <w:t>Final workflow, technical scope and implementation requirements are validated by Vouza.</w:t>
      </w:r>
    </w:p>
    <w:p>
      <w:pPr>
        <w:pStyle w:val="Heading2"/>
      </w:pPr>
      <w:r>
        <w:t>Recommended customer journey</w:t>
      </w:r>
    </w:p>
    <w:p>
      <w:r>
        <w:t>Discover → Prepare Workflow → Vouza Consultation → Agent &amp; Package Recommendation → Proposal → Payment → Workflow Workshop → Build → Testing → Customer Acceptance → Go-Live → Monthly Managed Service → Add More Agents</w:t>
      </w:r>
    </w:p>
    <w:p>
      <w:pPr>
        <w:pStyle w:val="Heading1"/>
      </w:pPr>
      <w:r>
        <w:t>2. Agreed Subscription &amp; Setup Pricing</w:t>
      </w:r>
    </w:p>
    <w:p>
      <w:r>
        <w:t>The following prices are the current commercial packages and should be used consistently across the website, proposals and checkout.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color w:val="FFFFFF"/>
              </w:rPr>
            </w:r>
            <w:r>
              <w:rPr>
                <w:b/>
                <w:color w:val="FFFFFF"/>
                <w:sz w:val="17"/>
              </w:rPr>
              <w:t>Plan</w:t>
            </w:r>
          </w:p>
        </w:tc>
        <w:tc>
          <w:tcPr>
            <w:tcW w:type="dxa" w:w="2556"/>
            <w:vAlign w:val="center"/>
            <w:shd w:fill="1F4E78"/>
          </w:tcPr>
          <w:p>
            <w:r>
              <w:rPr>
                <w:color w:val="FFFFFF"/>
              </w:rPr>
            </w:r>
            <w:r>
              <w:rPr>
                <w:b/>
                <w:color w:val="FFFFFF"/>
                <w:sz w:val="17"/>
              </w:rPr>
              <w:t>Malaysia (RM / Agent / month)</w:t>
            </w:r>
          </w:p>
        </w:tc>
        <w:tc>
          <w:tcPr>
            <w:tcW w:type="dxa" w:w="2556"/>
            <w:vAlign w:val="center"/>
            <w:shd w:fill="1F4E78"/>
          </w:tcPr>
          <w:p>
            <w:r>
              <w:rPr>
                <w:color w:val="FFFFFF"/>
              </w:rPr>
            </w:r>
            <w:r>
              <w:rPr>
                <w:b/>
                <w:color w:val="FFFFFF"/>
                <w:sz w:val="17"/>
              </w:rPr>
              <w:t>Singapore (SGD / Agent / month)</w:t>
            </w:r>
          </w:p>
        </w:tc>
        <w:tc>
          <w:tcPr>
            <w:tcW w:type="dxa" w:w="2556"/>
            <w:vAlign w:val="center"/>
            <w:shd w:fill="1F4E78"/>
          </w:tcPr>
          <w:p>
            <w:r>
              <w:rPr>
                <w:color w:val="FFFFFF"/>
              </w:rPr>
            </w:r>
            <w:r>
              <w:rPr>
                <w:b/>
                <w:color w:val="FFFFFF"/>
                <w:sz w:val="17"/>
              </w:rPr>
              <w:t>One-time Setup (once per customer account)</w:t>
            </w:r>
          </w:p>
        </w:tc>
      </w:tr>
      <w:tr>
        <w:tc>
          <w:tcPr>
            <w:tcW w:type="dxa" w:w="2556"/>
            <w:vAlign w:val="center"/>
          </w:tcPr>
          <w:p>
            <w:r/>
            <w:r>
              <w:rPr>
                <w:b w:val="0"/>
                <w:sz w:val="17"/>
              </w:rPr>
              <w:t>Basic</w:t>
            </w:r>
          </w:p>
        </w:tc>
        <w:tc>
          <w:tcPr>
            <w:tcW w:type="dxa" w:w="2556"/>
            <w:vAlign w:val="center"/>
          </w:tcPr>
          <w:p>
            <w:r/>
            <w:r>
              <w:rPr>
                <w:b w:val="0"/>
                <w:sz w:val="17"/>
              </w:rPr>
              <w:t>RM499</w:t>
            </w:r>
          </w:p>
        </w:tc>
        <w:tc>
          <w:tcPr>
            <w:tcW w:type="dxa" w:w="2556"/>
            <w:vAlign w:val="center"/>
          </w:tcPr>
          <w:p>
            <w:r/>
            <w:r>
              <w:rPr>
                <w:b w:val="0"/>
                <w:sz w:val="17"/>
              </w:rPr>
              <w:t>SGD199</w:t>
            </w:r>
          </w:p>
        </w:tc>
        <w:tc>
          <w:tcPr>
            <w:tcW w:type="dxa" w:w="2556"/>
            <w:vAlign w:val="center"/>
          </w:tcPr>
          <w:p>
            <w:r/>
            <w:r>
              <w:rPr>
                <w:b w:val="0"/>
                <w:sz w:val="17"/>
              </w:rPr>
              <w:t>RM1,999 / SGD679</w:t>
            </w:r>
          </w:p>
        </w:tc>
      </w:tr>
      <w:tr>
        <w:tc>
          <w:tcPr>
            <w:tcW w:type="dxa" w:w="2556"/>
            <w:vAlign w:val="center"/>
          </w:tcPr>
          <w:p>
            <w:r/>
            <w:r>
              <w:rPr>
                <w:b w:val="0"/>
                <w:sz w:val="17"/>
              </w:rPr>
              <w:t>Advanced — RECOMMENDED</w:t>
            </w:r>
          </w:p>
        </w:tc>
        <w:tc>
          <w:tcPr>
            <w:tcW w:type="dxa" w:w="2556"/>
            <w:vAlign w:val="center"/>
          </w:tcPr>
          <w:p>
            <w:r/>
            <w:r>
              <w:rPr>
                <w:b w:val="0"/>
                <w:sz w:val="17"/>
              </w:rPr>
              <w:t>RM899</w:t>
            </w:r>
          </w:p>
        </w:tc>
        <w:tc>
          <w:tcPr>
            <w:tcW w:type="dxa" w:w="2556"/>
            <w:vAlign w:val="center"/>
          </w:tcPr>
          <w:p>
            <w:r/>
            <w:r>
              <w:rPr>
                <w:b w:val="0"/>
                <w:sz w:val="17"/>
              </w:rPr>
              <w:t>SGD299</w:t>
            </w:r>
          </w:p>
        </w:tc>
        <w:tc>
          <w:tcPr>
            <w:tcW w:type="dxa" w:w="2556"/>
            <w:vAlign w:val="center"/>
          </w:tcPr>
          <w:p>
            <w:r/>
            <w:r>
              <w:rPr>
                <w:b w:val="0"/>
                <w:sz w:val="17"/>
              </w:rPr>
              <w:t>RM1,999 / SGD679</w:t>
            </w:r>
          </w:p>
        </w:tc>
      </w:tr>
      <w:tr>
        <w:tc>
          <w:tcPr>
            <w:tcW w:type="dxa" w:w="2556"/>
            <w:vAlign w:val="center"/>
          </w:tcPr>
          <w:p>
            <w:r/>
            <w:r>
              <w:rPr>
                <w:b w:val="0"/>
                <w:sz w:val="17"/>
              </w:rPr>
              <w:t>Premium</w:t>
            </w:r>
          </w:p>
        </w:tc>
        <w:tc>
          <w:tcPr>
            <w:tcW w:type="dxa" w:w="2556"/>
            <w:vAlign w:val="center"/>
          </w:tcPr>
          <w:p>
            <w:r/>
            <w:r>
              <w:rPr>
                <w:b w:val="0"/>
                <w:sz w:val="17"/>
              </w:rPr>
              <w:t>RM2,499</w:t>
            </w:r>
          </w:p>
        </w:tc>
        <w:tc>
          <w:tcPr>
            <w:tcW w:type="dxa" w:w="2556"/>
            <w:vAlign w:val="center"/>
          </w:tcPr>
          <w:p>
            <w:r/>
            <w:r>
              <w:rPr>
                <w:b w:val="0"/>
                <w:sz w:val="17"/>
              </w:rPr>
              <w:t>SGD799</w:t>
            </w:r>
          </w:p>
        </w:tc>
        <w:tc>
          <w:tcPr>
            <w:tcW w:type="dxa" w:w="2556"/>
            <w:vAlign w:val="center"/>
          </w:tcPr>
          <w:p>
            <w:r/>
            <w:r>
              <w:rPr>
                <w:b w:val="0"/>
                <w:sz w:val="17"/>
              </w:rPr>
              <w:t>RM1,999 / SGD679</w:t>
            </w:r>
          </w:p>
        </w:tc>
      </w:tr>
    </w:tbl>
    <w:p>
      <w:r>
        <w:t>Pricing principle: one subscription = one AI Agent. Additional AI Agents are added as separate subscriptions. The one-time Setup / Agent fee shown below is charged once per customer account — it covers the first AI Agent; additional Agents added later under the same account are not charged setup fee again.</w:t>
      </w:r>
    </w:p>
    <w:p>
      <w:r>
        <w:t>Customers may choose to pay annually instead of monthly, at a 10% discount to the equivalent monthly cost, billed as a single upfront charge once per year. Annual pricing: Basic — SGD2,150 / RM5,390 per Agent per year; Advanced — SGD3,230 / RM9,710 per Agent per year; Premium — SGD8,630 / RM26,990 per Agent per year. The one-time implementation and setup fee is unchanged and applies the same way regardless of billing interval.</w:t>
      </w:r>
    </w:p>
    <w:p>
      <w:r>
        <w:t>For example, a customer may subscribe to a Customer Service Agent, Sales Agent and HR Agent under the same company/project, with each Agent billed separately.</w:t>
      </w:r>
    </w:p>
    <w:p>
      <w:pPr>
        <w:pStyle w:val="Heading1"/>
      </w:pPr>
      <w:r>
        <w:t>3. Package Capability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color w:val="FFFFFF"/>
              </w:rPr>
            </w:r>
            <w:r>
              <w:rPr>
                <w:b/>
                <w:color w:val="FFFFFF"/>
                <w:sz w:val="17"/>
              </w:rPr>
              <w:t>Capability</w:t>
            </w:r>
          </w:p>
        </w:tc>
        <w:tc>
          <w:tcPr>
            <w:tcW w:type="dxa" w:w="2556"/>
            <w:vAlign w:val="center"/>
            <w:shd w:fill="1F4E78"/>
          </w:tcPr>
          <w:p>
            <w:r>
              <w:rPr>
                <w:color w:val="FFFFFF"/>
              </w:rPr>
            </w:r>
            <w:r>
              <w:rPr>
                <w:b/>
                <w:color w:val="FFFFFF"/>
                <w:sz w:val="17"/>
              </w:rPr>
              <w:t>Basic</w:t>
            </w:r>
          </w:p>
        </w:tc>
        <w:tc>
          <w:tcPr>
            <w:tcW w:type="dxa" w:w="2556"/>
            <w:vAlign w:val="center"/>
            <w:shd w:fill="1F4E78"/>
          </w:tcPr>
          <w:p>
            <w:r>
              <w:rPr>
                <w:color w:val="FFFFFF"/>
              </w:rPr>
            </w:r>
            <w:r>
              <w:rPr>
                <w:b/>
                <w:color w:val="FFFFFF"/>
                <w:sz w:val="17"/>
              </w:rPr>
              <w:t>Advanced</w:t>
            </w:r>
          </w:p>
        </w:tc>
        <w:tc>
          <w:tcPr>
            <w:tcW w:type="dxa" w:w="2556"/>
            <w:vAlign w:val="center"/>
            <w:shd w:fill="1F4E78"/>
          </w:tcPr>
          <w:p>
            <w:r>
              <w:rPr>
                <w:color w:val="FFFFFF"/>
              </w:rPr>
            </w:r>
            <w:r>
              <w:rPr>
                <w:b/>
                <w:color w:val="FFFFFF"/>
                <w:sz w:val="17"/>
              </w:rPr>
              <w:t>Premium</w:t>
            </w:r>
          </w:p>
        </w:tc>
      </w:tr>
      <w:tr>
        <w:tc>
          <w:tcPr>
            <w:tcW w:type="dxa" w:w="2556"/>
            <w:vAlign w:val="center"/>
          </w:tcPr>
          <w:p>
            <w:r/>
            <w:r>
              <w:rPr>
                <w:b w:val="0"/>
                <w:sz w:val="17"/>
              </w:rPr>
              <w:t>AI messages / month</w:t>
            </w:r>
          </w:p>
        </w:tc>
        <w:tc>
          <w:tcPr>
            <w:tcW w:type="dxa" w:w="2556"/>
            <w:vAlign w:val="center"/>
          </w:tcPr>
          <w:p>
            <w:r/>
            <w:r>
              <w:rPr>
                <w:b w:val="0"/>
                <w:sz w:val="17"/>
              </w:rPr>
              <w:t>2,000</w:t>
            </w:r>
          </w:p>
        </w:tc>
        <w:tc>
          <w:tcPr>
            <w:tcW w:type="dxa" w:w="2556"/>
            <w:vAlign w:val="center"/>
          </w:tcPr>
          <w:p>
            <w:r/>
            <w:r>
              <w:rPr>
                <w:b w:val="0"/>
                <w:sz w:val="17"/>
              </w:rPr>
              <w:t>10,000</w:t>
            </w:r>
          </w:p>
        </w:tc>
        <w:tc>
          <w:tcPr>
            <w:tcW w:type="dxa" w:w="2556"/>
            <w:vAlign w:val="center"/>
          </w:tcPr>
          <w:p>
            <w:r/>
            <w:r>
              <w:rPr>
                <w:b w:val="0"/>
                <w:sz w:val="17"/>
              </w:rPr>
              <w:t>10,000</w:t>
            </w:r>
          </w:p>
        </w:tc>
      </w:tr>
      <w:tr>
        <w:tc>
          <w:tcPr>
            <w:tcW w:type="dxa" w:w="2556"/>
            <w:vAlign w:val="center"/>
          </w:tcPr>
          <w:p>
            <w:r/>
            <w:r>
              <w:rPr>
                <w:b w:val="0"/>
                <w:sz w:val="17"/>
              </w:rPr>
              <w:t>Languages</w:t>
            </w:r>
          </w:p>
        </w:tc>
        <w:tc>
          <w:tcPr>
            <w:tcW w:type="dxa" w:w="2556"/>
            <w:vAlign w:val="center"/>
          </w:tcPr>
          <w:p>
            <w:r/>
            <w:r>
              <w:rPr>
                <w:b w:val="0"/>
                <w:sz w:val="17"/>
              </w:rPr>
              <w:t>2</w:t>
            </w:r>
          </w:p>
        </w:tc>
        <w:tc>
          <w:tcPr>
            <w:tcW w:type="dxa" w:w="2556"/>
            <w:vAlign w:val="center"/>
          </w:tcPr>
          <w:p>
            <w:r/>
            <w:r>
              <w:rPr>
                <w:b w:val="0"/>
                <w:sz w:val="17"/>
              </w:rPr>
              <w:t>4</w:t>
            </w:r>
          </w:p>
        </w:tc>
        <w:tc>
          <w:tcPr>
            <w:tcW w:type="dxa" w:w="2556"/>
            <w:vAlign w:val="center"/>
          </w:tcPr>
          <w:p>
            <w:r/>
            <w:r>
              <w:rPr>
                <w:b w:val="0"/>
                <w:sz w:val="17"/>
              </w:rPr>
              <w:t>6</w:t>
            </w:r>
          </w:p>
        </w:tc>
      </w:tr>
      <w:tr>
        <w:tc>
          <w:tcPr>
            <w:tcW w:type="dxa" w:w="2556"/>
            <w:vAlign w:val="center"/>
          </w:tcPr>
          <w:p>
            <w:r/>
            <w:r>
              <w:rPr>
                <w:b w:val="0"/>
                <w:sz w:val="17"/>
              </w:rPr>
              <w:t>AI Knowledge Base</w:t>
            </w:r>
          </w:p>
        </w:tc>
        <w:tc>
          <w:tcPr>
            <w:tcW w:type="dxa" w:w="2556"/>
            <w:vAlign w:val="center"/>
          </w:tcPr>
          <w:p>
            <w:r/>
            <w:r>
              <w:rPr>
                <w:b w:val="0"/>
                <w:sz w:val="17"/>
              </w:rPr>
              <w:t>✓</w:t>
            </w:r>
          </w:p>
        </w:tc>
        <w:tc>
          <w:tcPr>
            <w:tcW w:type="dxa" w:w="2556"/>
            <w:vAlign w:val="center"/>
          </w:tcPr>
          <w:p>
            <w:r/>
            <w:r>
              <w:rPr>
                <w:b w:val="0"/>
                <w:sz w:val="17"/>
              </w:rPr>
              <w:t>✓</w:t>
            </w:r>
          </w:p>
        </w:tc>
        <w:tc>
          <w:tcPr>
            <w:tcW w:type="dxa" w:w="2556"/>
            <w:vAlign w:val="center"/>
          </w:tcPr>
          <w:p>
            <w:r/>
            <w:r>
              <w:rPr>
                <w:b w:val="0"/>
                <w:sz w:val="17"/>
              </w:rPr>
              <w:t>✓</w:t>
            </w:r>
          </w:p>
        </w:tc>
      </w:tr>
      <w:tr>
        <w:tc>
          <w:tcPr>
            <w:tcW w:type="dxa" w:w="2556"/>
            <w:vAlign w:val="center"/>
          </w:tcPr>
          <w:p>
            <w:r/>
            <w:r>
              <w:rPr>
                <w:b w:val="0"/>
                <w:sz w:val="17"/>
              </w:rPr>
              <w:t>Smart routing</w:t>
            </w:r>
          </w:p>
        </w:tc>
        <w:tc>
          <w:tcPr>
            <w:tcW w:type="dxa" w:w="2556"/>
            <w:vAlign w:val="center"/>
          </w:tcPr>
          <w:p>
            <w:r/>
            <w:r>
              <w:rPr>
                <w:b w:val="0"/>
                <w:sz w:val="17"/>
              </w:rPr>
              <w:t>Limited</w:t>
            </w:r>
          </w:p>
        </w:tc>
        <w:tc>
          <w:tcPr>
            <w:tcW w:type="dxa" w:w="2556"/>
            <w:vAlign w:val="center"/>
          </w:tcPr>
          <w:p>
            <w:r/>
            <w:r>
              <w:rPr>
                <w:b w:val="0"/>
                <w:sz w:val="17"/>
              </w:rPr>
              <w:t>✓</w:t>
            </w:r>
          </w:p>
        </w:tc>
        <w:tc>
          <w:tcPr>
            <w:tcW w:type="dxa" w:w="2556"/>
            <w:vAlign w:val="center"/>
          </w:tcPr>
          <w:p>
            <w:r/>
            <w:r>
              <w:rPr>
                <w:b w:val="0"/>
                <w:sz w:val="17"/>
              </w:rPr>
              <w:t>Advanced</w:t>
            </w:r>
          </w:p>
        </w:tc>
      </w:tr>
      <w:tr>
        <w:tc>
          <w:tcPr>
            <w:tcW w:type="dxa" w:w="2556"/>
            <w:vAlign w:val="center"/>
          </w:tcPr>
          <w:p>
            <w:r/>
            <w:r>
              <w:rPr>
                <w:b w:val="0"/>
                <w:sz w:val="17"/>
              </w:rPr>
              <w:t>Human escalation</w:t>
            </w:r>
          </w:p>
        </w:tc>
        <w:tc>
          <w:tcPr>
            <w:tcW w:type="dxa" w:w="2556"/>
            <w:vAlign w:val="center"/>
          </w:tcPr>
          <w:p>
            <w:r/>
            <w:r>
              <w:rPr>
                <w:b w:val="0"/>
                <w:sz w:val="17"/>
              </w:rPr>
              <w:t>✓</w:t>
            </w:r>
          </w:p>
        </w:tc>
        <w:tc>
          <w:tcPr>
            <w:tcW w:type="dxa" w:w="2556"/>
            <w:vAlign w:val="center"/>
          </w:tcPr>
          <w:p>
            <w:r/>
            <w:r>
              <w:rPr>
                <w:b w:val="0"/>
                <w:sz w:val="17"/>
              </w:rPr>
              <w:t>✓</w:t>
            </w:r>
          </w:p>
        </w:tc>
        <w:tc>
          <w:tcPr>
            <w:tcW w:type="dxa" w:w="2556"/>
            <w:vAlign w:val="center"/>
          </w:tcPr>
          <w:p>
            <w:r/>
            <w:r>
              <w:rPr>
                <w:b w:val="0"/>
                <w:sz w:val="17"/>
              </w:rPr>
              <w:t>✓</w:t>
            </w:r>
          </w:p>
        </w:tc>
      </w:tr>
      <w:tr>
        <w:tc>
          <w:tcPr>
            <w:tcW w:type="dxa" w:w="2556"/>
            <w:vAlign w:val="center"/>
          </w:tcPr>
          <w:p>
            <w:r/>
            <w:r>
              <w:rPr>
                <w:b w:val="0"/>
                <w:sz w:val="17"/>
              </w:rPr>
              <w:t>Staff dashboard</w:t>
            </w:r>
          </w:p>
        </w:tc>
        <w:tc>
          <w:tcPr>
            <w:tcW w:type="dxa" w:w="2556"/>
            <w:vAlign w:val="center"/>
          </w:tcPr>
          <w:p>
            <w:r/>
            <w:r>
              <w:rPr>
                <w:b w:val="0"/>
                <w:sz w:val="17"/>
              </w:rPr>
              <w:t>Basic</w:t>
            </w:r>
          </w:p>
        </w:tc>
        <w:tc>
          <w:tcPr>
            <w:tcW w:type="dxa" w:w="2556"/>
            <w:vAlign w:val="center"/>
          </w:tcPr>
          <w:p>
            <w:r/>
            <w:r>
              <w:rPr>
                <w:b w:val="0"/>
                <w:sz w:val="17"/>
              </w:rPr>
              <w:t>Advanced</w:t>
            </w:r>
          </w:p>
        </w:tc>
        <w:tc>
          <w:tcPr>
            <w:tcW w:type="dxa" w:w="2556"/>
            <w:vAlign w:val="center"/>
          </w:tcPr>
          <w:p>
            <w:r/>
            <w:r>
              <w:rPr>
                <w:b w:val="0"/>
                <w:sz w:val="17"/>
              </w:rPr>
              <w:t>Premium</w:t>
            </w:r>
          </w:p>
        </w:tc>
      </w:tr>
      <w:tr>
        <w:tc>
          <w:tcPr>
            <w:tcW w:type="dxa" w:w="2556"/>
            <w:vAlign w:val="center"/>
          </w:tcPr>
          <w:p>
            <w:r/>
            <w:r>
              <w:rPr>
                <w:b w:val="0"/>
                <w:sz w:val="17"/>
              </w:rPr>
              <w:t>Analytics</w:t>
            </w:r>
          </w:p>
        </w:tc>
        <w:tc>
          <w:tcPr>
            <w:tcW w:type="dxa" w:w="2556"/>
            <w:vAlign w:val="center"/>
          </w:tcPr>
          <w:p>
            <w:r/>
            <w:r>
              <w:rPr>
                <w:b w:val="0"/>
                <w:sz w:val="17"/>
              </w:rPr>
              <w:t>Basic</w:t>
            </w:r>
          </w:p>
        </w:tc>
        <w:tc>
          <w:tcPr>
            <w:tcW w:type="dxa" w:w="2556"/>
            <w:vAlign w:val="center"/>
          </w:tcPr>
          <w:p>
            <w:r/>
            <w:r>
              <w:rPr>
                <w:b w:val="0"/>
                <w:sz w:val="17"/>
              </w:rPr>
              <w:t>Advanced</w:t>
            </w:r>
          </w:p>
        </w:tc>
        <w:tc>
          <w:tcPr>
            <w:tcW w:type="dxa" w:w="2556"/>
            <w:vAlign w:val="center"/>
          </w:tcPr>
          <w:p>
            <w:r/>
            <w:r>
              <w:rPr>
                <w:b w:val="0"/>
                <w:sz w:val="17"/>
              </w:rPr>
              <w:t>Premium</w:t>
            </w:r>
          </w:p>
        </w:tc>
      </w:tr>
      <w:tr>
        <w:tc>
          <w:tcPr>
            <w:tcW w:type="dxa" w:w="2556"/>
            <w:vAlign w:val="center"/>
          </w:tcPr>
          <w:p>
            <w:r/>
            <w:r>
              <w:rPr>
                <w:b w:val="0"/>
                <w:sz w:val="17"/>
              </w:rPr>
              <w:t>Daily reports</w:t>
            </w:r>
          </w:p>
        </w:tc>
        <w:tc>
          <w:tcPr>
            <w:tcW w:type="dxa" w:w="2556"/>
            <w:vAlign w:val="center"/>
          </w:tcPr>
          <w:p>
            <w:r/>
            <w:r>
              <w:rPr>
                <w:b w:val="0"/>
                <w:sz w:val="17"/>
              </w:rPr>
              <w:t>—</w:t>
            </w:r>
          </w:p>
        </w:tc>
        <w:tc>
          <w:tcPr>
            <w:tcW w:type="dxa" w:w="2556"/>
            <w:vAlign w:val="center"/>
          </w:tcPr>
          <w:p>
            <w:r/>
            <w:r>
              <w:rPr>
                <w:b w:val="0"/>
                <w:sz w:val="17"/>
              </w:rPr>
              <w:t>✓</w:t>
            </w:r>
          </w:p>
        </w:tc>
        <w:tc>
          <w:tcPr>
            <w:tcW w:type="dxa" w:w="2556"/>
            <w:vAlign w:val="center"/>
          </w:tcPr>
          <w:p>
            <w:r/>
            <w:r>
              <w:rPr>
                <w:b w:val="0"/>
                <w:sz w:val="17"/>
              </w:rPr>
              <w:t>✓</w:t>
            </w:r>
          </w:p>
        </w:tc>
      </w:tr>
      <w:tr>
        <w:tc>
          <w:tcPr>
            <w:tcW w:type="dxa" w:w="2556"/>
            <w:vAlign w:val="center"/>
          </w:tcPr>
          <w:p>
            <w:r/>
            <w:r>
              <w:rPr>
                <w:b w:val="0"/>
                <w:sz w:val="17"/>
              </w:rPr>
              <w:t>Notifications</w:t>
            </w:r>
          </w:p>
        </w:tc>
        <w:tc>
          <w:tcPr>
            <w:tcW w:type="dxa" w:w="2556"/>
            <w:vAlign w:val="center"/>
          </w:tcPr>
          <w:p>
            <w:r/>
            <w:r>
              <w:rPr>
                <w:b w:val="0"/>
                <w:sz w:val="17"/>
              </w:rPr>
              <w:t>Basic</w:t>
            </w:r>
          </w:p>
        </w:tc>
        <w:tc>
          <w:tcPr>
            <w:tcW w:type="dxa" w:w="2556"/>
            <w:vAlign w:val="center"/>
          </w:tcPr>
          <w:p>
            <w:r/>
            <w:r>
              <w:rPr>
                <w:b w:val="0"/>
                <w:sz w:val="17"/>
              </w:rPr>
              <w:t>Advanced</w:t>
            </w:r>
          </w:p>
        </w:tc>
        <w:tc>
          <w:tcPr>
            <w:tcW w:type="dxa" w:w="2556"/>
            <w:vAlign w:val="center"/>
          </w:tcPr>
          <w:p>
            <w:r/>
            <w:r>
              <w:rPr>
                <w:b w:val="0"/>
                <w:sz w:val="17"/>
              </w:rPr>
              <w:t>Premium</w:t>
            </w:r>
          </w:p>
        </w:tc>
      </w:tr>
      <w:tr>
        <w:tc>
          <w:tcPr>
            <w:tcW w:type="dxa" w:w="2556"/>
            <w:vAlign w:val="center"/>
          </w:tcPr>
          <w:p>
            <w:r/>
            <w:r>
              <w:rPr>
                <w:b w:val="0"/>
                <w:sz w:val="17"/>
              </w:rPr>
              <w:t>Automation</w:t>
            </w:r>
          </w:p>
        </w:tc>
        <w:tc>
          <w:tcPr>
            <w:tcW w:type="dxa" w:w="2556"/>
            <w:vAlign w:val="center"/>
          </w:tcPr>
          <w:p>
            <w:r/>
            <w:r>
              <w:rPr>
                <w:b w:val="0"/>
                <w:sz w:val="17"/>
              </w:rPr>
              <w:t>Basic</w:t>
            </w:r>
          </w:p>
        </w:tc>
        <w:tc>
          <w:tcPr>
            <w:tcW w:type="dxa" w:w="2556"/>
            <w:vAlign w:val="center"/>
          </w:tcPr>
          <w:p>
            <w:r/>
            <w:r>
              <w:rPr>
                <w:b w:val="0"/>
                <w:sz w:val="17"/>
              </w:rPr>
              <w:t>Advanced</w:t>
            </w:r>
          </w:p>
        </w:tc>
        <w:tc>
          <w:tcPr>
            <w:tcW w:type="dxa" w:w="2556"/>
            <w:vAlign w:val="center"/>
          </w:tcPr>
          <w:p>
            <w:r/>
            <w:r>
              <w:rPr>
                <w:b w:val="0"/>
                <w:sz w:val="17"/>
              </w:rPr>
              <w:t>Premium</w:t>
            </w:r>
          </w:p>
        </w:tc>
      </w:tr>
      <w:tr>
        <w:tc>
          <w:tcPr>
            <w:tcW w:type="dxa" w:w="2556"/>
            <w:vAlign w:val="center"/>
          </w:tcPr>
          <w:p>
            <w:r/>
            <w:r>
              <w:rPr>
                <w:b w:val="0"/>
                <w:sz w:val="17"/>
              </w:rPr>
              <w:t>Monitoring</w:t>
            </w:r>
          </w:p>
        </w:tc>
        <w:tc>
          <w:tcPr>
            <w:tcW w:type="dxa" w:w="2556"/>
            <w:vAlign w:val="center"/>
          </w:tcPr>
          <w:p>
            <w:r/>
            <w:r>
              <w:rPr>
                <w:b w:val="0"/>
                <w:sz w:val="17"/>
              </w:rPr>
              <w:t>✓</w:t>
            </w:r>
          </w:p>
        </w:tc>
        <w:tc>
          <w:tcPr>
            <w:tcW w:type="dxa" w:w="2556"/>
            <w:vAlign w:val="center"/>
          </w:tcPr>
          <w:p>
            <w:r/>
            <w:r>
              <w:rPr>
                <w:b w:val="0"/>
                <w:sz w:val="17"/>
              </w:rPr>
              <w:t>✓</w:t>
            </w:r>
          </w:p>
        </w:tc>
        <w:tc>
          <w:tcPr>
            <w:tcW w:type="dxa" w:w="2556"/>
            <w:vAlign w:val="center"/>
          </w:tcPr>
          <w:p>
            <w:r/>
            <w:r>
              <w:rPr>
                <w:b w:val="0"/>
                <w:sz w:val="17"/>
              </w:rPr>
              <w:t>✓</w:t>
            </w:r>
          </w:p>
        </w:tc>
      </w:tr>
      <w:tr>
        <w:tc>
          <w:tcPr>
            <w:tcW w:type="dxa" w:w="2556"/>
            <w:vAlign w:val="center"/>
          </w:tcPr>
          <w:p>
            <w:r/>
            <w:r>
              <w:rPr>
                <w:b w:val="0"/>
                <w:sz w:val="17"/>
              </w:rPr>
              <w:t>Data retention</w:t>
            </w:r>
          </w:p>
        </w:tc>
        <w:tc>
          <w:tcPr>
            <w:tcW w:type="dxa" w:w="2556"/>
            <w:vAlign w:val="center"/>
          </w:tcPr>
          <w:p>
            <w:r/>
            <w:r>
              <w:rPr>
                <w:b w:val="0"/>
                <w:sz w:val="17"/>
              </w:rPr>
              <w:t>15 days</w:t>
            </w:r>
          </w:p>
        </w:tc>
        <w:tc>
          <w:tcPr>
            <w:tcW w:type="dxa" w:w="2556"/>
            <w:vAlign w:val="center"/>
          </w:tcPr>
          <w:p>
            <w:r/>
            <w:r>
              <w:rPr>
                <w:b w:val="0"/>
                <w:sz w:val="17"/>
              </w:rPr>
              <w:t>30 days</w:t>
            </w:r>
          </w:p>
        </w:tc>
        <w:tc>
          <w:tcPr>
            <w:tcW w:type="dxa" w:w="2556"/>
            <w:vAlign w:val="center"/>
          </w:tcPr>
          <w:p>
            <w:r/>
            <w:r>
              <w:rPr>
                <w:b w:val="0"/>
                <w:sz w:val="17"/>
              </w:rPr>
              <w:t>30 days</w:t>
            </w:r>
          </w:p>
        </w:tc>
      </w:tr>
      <w:tr>
        <w:tc>
          <w:tcPr>
            <w:tcW w:type="dxa" w:w="2556"/>
            <w:vAlign w:val="center"/>
          </w:tcPr>
          <w:p>
            <w:r/>
            <w:r>
              <w:rPr>
                <w:b w:val="0"/>
                <w:sz w:val="17"/>
              </w:rPr>
              <w:t>Image interaction</w:t>
            </w:r>
          </w:p>
        </w:tc>
        <w:tc>
          <w:tcPr>
            <w:tcW w:type="dxa" w:w="2556"/>
            <w:vAlign w:val="center"/>
          </w:tcPr>
          <w:p>
            <w:r/>
            <w:r>
              <w:rPr>
                <w:b w:val="0"/>
                <w:sz w:val="17"/>
              </w:rPr>
              <w:t>Included within allowance</w:t>
            </w:r>
          </w:p>
        </w:tc>
        <w:tc>
          <w:tcPr>
            <w:tcW w:type="dxa" w:w="2556"/>
            <w:vAlign w:val="center"/>
          </w:tcPr>
          <w:p>
            <w:r/>
            <w:r>
              <w:rPr>
                <w:b w:val="0"/>
                <w:sz w:val="17"/>
              </w:rPr>
              <w:t>Included within allowance</w:t>
            </w:r>
          </w:p>
        </w:tc>
        <w:tc>
          <w:tcPr>
            <w:tcW w:type="dxa" w:w="2556"/>
            <w:vAlign w:val="center"/>
          </w:tcPr>
          <w:p>
            <w:r/>
            <w:r>
              <w:rPr>
                <w:b w:val="0"/>
                <w:sz w:val="17"/>
              </w:rPr>
              <w:t>Included + Premium media allowance</w:t>
            </w:r>
          </w:p>
        </w:tc>
      </w:tr>
      <w:tr>
        <w:tc>
          <w:tcPr>
            <w:tcW w:type="dxa" w:w="2556"/>
            <w:vAlign w:val="center"/>
          </w:tcPr>
          <w:p>
            <w:r/>
            <w:r>
              <w:rPr>
                <w:b w:val="0"/>
                <w:sz w:val="17"/>
              </w:rPr>
              <w:t>WhatsApp Voice</w:t>
            </w:r>
          </w:p>
        </w:tc>
        <w:tc>
          <w:tcPr>
            <w:tcW w:type="dxa" w:w="2556"/>
            <w:vAlign w:val="center"/>
          </w:tcPr>
          <w:p>
            <w:r/>
            <w:r>
              <w:rPr>
                <w:b w:val="0"/>
                <w:sz w:val="17"/>
              </w:rPr>
              <w:t>—</w:t>
            </w:r>
          </w:p>
        </w:tc>
        <w:tc>
          <w:tcPr>
            <w:tcW w:type="dxa" w:w="2556"/>
            <w:vAlign w:val="center"/>
          </w:tcPr>
          <w:p>
            <w:r/>
            <w:r>
              <w:rPr>
                <w:b w:val="0"/>
                <w:sz w:val="17"/>
              </w:rPr>
              <w:t>—</w:t>
            </w:r>
          </w:p>
        </w:tc>
        <w:tc>
          <w:tcPr>
            <w:tcW w:type="dxa" w:w="2556"/>
            <w:vAlign w:val="center"/>
          </w:tcPr>
          <w:p>
            <w:r/>
            <w:r>
              <w:rPr>
                <w:b w:val="0"/>
                <w:sz w:val="17"/>
              </w:rPr>
              <w:t>✓</w:t>
            </w:r>
          </w:p>
        </w:tc>
      </w:tr>
      <w:tr>
        <w:tc>
          <w:tcPr>
            <w:tcW w:type="dxa" w:w="2556"/>
            <w:vAlign w:val="center"/>
          </w:tcPr>
          <w:p>
            <w:r/>
            <w:r>
              <w:rPr>
                <w:b w:val="0"/>
                <w:sz w:val="17"/>
              </w:rPr>
              <w:t>Twilio integration</w:t>
            </w:r>
          </w:p>
        </w:tc>
        <w:tc>
          <w:tcPr>
            <w:tcW w:type="dxa" w:w="2556"/>
            <w:vAlign w:val="center"/>
          </w:tcPr>
          <w:p>
            <w:r/>
            <w:r>
              <w:rPr>
                <w:b w:val="0"/>
                <w:sz w:val="17"/>
              </w:rPr>
              <w:t>—</w:t>
            </w:r>
          </w:p>
        </w:tc>
        <w:tc>
          <w:tcPr>
            <w:tcW w:type="dxa" w:w="2556"/>
            <w:vAlign w:val="center"/>
          </w:tcPr>
          <w:p>
            <w:r/>
            <w:r>
              <w:rPr>
                <w:b w:val="0"/>
                <w:sz w:val="17"/>
              </w:rPr>
              <w:t>—</w:t>
            </w:r>
          </w:p>
        </w:tc>
        <w:tc>
          <w:tcPr>
            <w:tcW w:type="dxa" w:w="2556"/>
            <w:vAlign w:val="center"/>
          </w:tcPr>
          <w:p>
            <w:r/>
            <w:r>
              <w:rPr>
                <w:b w:val="0"/>
                <w:sz w:val="17"/>
              </w:rPr>
              <w:t>✓</w:t>
            </w:r>
          </w:p>
        </w:tc>
      </w:tr>
      <w:tr>
        <w:tc>
          <w:tcPr>
            <w:tcW w:type="dxa" w:w="2556"/>
            <w:vAlign w:val="center"/>
          </w:tcPr>
          <w:p>
            <w:r/>
            <w:r>
              <w:rPr>
                <w:b w:val="0"/>
                <w:sz w:val="17"/>
              </w:rPr>
              <w:t>Video</w:t>
            </w:r>
          </w:p>
        </w:tc>
        <w:tc>
          <w:tcPr>
            <w:tcW w:type="dxa" w:w="2556"/>
            <w:vAlign w:val="center"/>
          </w:tcPr>
          <w:p>
            <w:r/>
            <w:r>
              <w:rPr>
                <w:b w:val="0"/>
                <w:sz w:val="17"/>
              </w:rPr>
              <w:t>—</w:t>
            </w:r>
          </w:p>
        </w:tc>
        <w:tc>
          <w:tcPr>
            <w:tcW w:type="dxa" w:w="2556"/>
            <w:vAlign w:val="center"/>
          </w:tcPr>
          <w:p>
            <w:r/>
            <w:r>
              <w:rPr>
                <w:b w:val="0"/>
                <w:sz w:val="17"/>
              </w:rPr>
              <w:t>—</w:t>
            </w:r>
          </w:p>
        </w:tc>
        <w:tc>
          <w:tcPr>
            <w:tcW w:type="dxa" w:w="2556"/>
            <w:vAlign w:val="center"/>
          </w:tcPr>
          <w:p>
            <w:r/>
            <w:r>
              <w:rPr>
                <w:b w:val="0"/>
                <w:sz w:val="17"/>
              </w:rPr>
              <w:t>Twilio-powered Video Calling</w:t>
            </w:r>
          </w:p>
        </w:tc>
      </w:tr>
      <w:tr>
        <w:tc>
          <w:tcPr>
            <w:tcW w:type="dxa" w:w="2556"/>
            <w:vAlign w:val="center"/>
          </w:tcPr>
          <w:p>
            <w:r/>
            <w:r>
              <w:rPr>
                <w:b w:val="0"/>
                <w:sz w:val="17"/>
              </w:rPr>
              <w:t>Best suited for</w:t>
            </w:r>
          </w:p>
        </w:tc>
        <w:tc>
          <w:tcPr>
            <w:tcW w:type="dxa" w:w="2556"/>
            <w:vAlign w:val="center"/>
          </w:tcPr>
          <w:p>
            <w:r/>
            <w:r>
              <w:rPr>
                <w:b w:val="0"/>
                <w:sz w:val="17"/>
              </w:rPr>
              <w:t>Straightforward workflows</w:t>
            </w:r>
          </w:p>
        </w:tc>
        <w:tc>
          <w:tcPr>
            <w:tcW w:type="dxa" w:w="2556"/>
            <w:vAlign w:val="center"/>
          </w:tcPr>
          <w:p>
            <w:r/>
            <w:r>
              <w:rPr>
                <w:b w:val="0"/>
                <w:sz w:val="17"/>
              </w:rPr>
              <w:t>Growing / multilingual workflows</w:t>
            </w:r>
          </w:p>
        </w:tc>
        <w:tc>
          <w:tcPr>
            <w:tcW w:type="dxa" w:w="2556"/>
            <w:vAlign w:val="center"/>
          </w:tcPr>
          <w:p>
            <w:r/>
            <w:r>
              <w:rPr>
                <w:b w:val="0"/>
                <w:sz w:val="17"/>
              </w:rPr>
              <w:t>Complex, multilingual and richer communication workflows</w:t>
            </w:r>
          </w:p>
        </w:tc>
      </w:tr>
    </w:tbl>
    <w:p>
      <w:r>
        <w:t>Premium usage presentation: 10,000 AI interactions/month; 1,000 WhatsApp Voice minutes/month; 500 Twilio Video participant-minutes/month. These are usage allowances and should be clearly separated from third-party provider billing.</w:t>
      </w:r>
    </w:p>
    <w:p>
      <w:pPr>
        <w:pStyle w:val="Heading1"/>
      </w:pPr>
      <w:r>
        <w:t>4. Package Selection Rules</w:t>
      </w:r>
    </w:p>
    <w:p>
      <w:pPr>
        <w:pStyle w:val="ListBullet"/>
        <w:spacing w:after="40"/>
      </w:pPr>
      <w:r>
        <w:t>Basic: simple workflow, lower message volume, up to 2 languages and limited routing/automation.</w:t>
      </w:r>
    </w:p>
    <w:p>
      <w:pPr>
        <w:pStyle w:val="ListBullet"/>
        <w:spacing w:after="40"/>
      </w:pPr>
      <w:r>
        <w:t>Advanced: higher volume, up to 4 languages, smart routing, stronger dashboard/reporting and automation. This is the default recommendation for many SME workflows.</w:t>
      </w:r>
    </w:p>
    <w:p>
      <w:pPr>
        <w:pStyle w:val="ListBullet"/>
        <w:spacing w:after="40"/>
      </w:pPr>
      <w:r>
        <w:t>Premium: complex workflow requiring up to 6 languages, richer media communication, WhatsApp Voice, Twilio-powered Video Calling and advanced automation.</w:t>
      </w:r>
    </w:p>
    <w:p>
      <w:pPr>
        <w:pStyle w:val="ListBullet"/>
        <w:spacing w:after="40"/>
      </w:pPr>
      <w:r>
        <w:t>Package selection should be based on workflow complexity and expected usage, not only the number of employees.</w:t>
      </w:r>
    </w:p>
    <w:p>
      <w:pPr>
        <w:pStyle w:val="ListBullet"/>
        <w:spacing w:after="40"/>
      </w:pPr>
      <w:r>
        <w:t>If one workflow needs more capability than the selected package, Vouza should recommend upgrading the Agent rather than promising unsupported functionality.</w:t>
      </w:r>
    </w:p>
    <w:p>
      <w:pPr>
        <w:pStyle w:val="ListBullet"/>
        <w:spacing w:after="40"/>
      </w:pPr>
      <w:r>
        <w:t>If the customer has multiple distinct workflows, recommend multiple specialised Agents instead of forcing all functions into one Agent.</w:t>
      </w:r>
    </w:p>
    <w:p>
      <w:r>
        <w:br w:type="page"/>
      </w:r>
    </w:p>
    <w:p>
      <w:pPr>
        <w:pStyle w:val="Heading1"/>
      </w:pPr>
      <w:r>
        <w:t>5. Three Customer-Facing Pricing Card Designs</w:t>
      </w:r>
    </w:p>
    <w:p>
      <w:r>
        <w:t>These are the recommended card contents for the website. The cards should use the same structure for Singapore and Malaysia; only the currency and price change.</w:t>
      </w:r>
    </w:p>
    <w:p>
      <w:pPr>
        <w:pStyle w:val="Heading2"/>
      </w:pPr>
      <w:r>
        <w:t>BASIC AI AGENT</w:t>
      </w:r>
    </w:p>
    <w:p>
      <w:r>
        <w:t>Singapore: SGD 199/Agent/month  |  Malaysia: RM499/Agent/month</w:t>
      </w:r>
    </w:p>
    <w:p>
      <w:r>
        <w:t>Or pay annually and save 10%: Singapore SGD2,150/Agent/year | Malaysia RM5,390/Agent/year</w:t>
      </w:r>
    </w:p>
    <w:p>
      <w:r>
        <w:t>One-time implementation: Singapore SGD679/Agent | Malaysia RM1,999/Agent</w:t>
      </w:r>
    </w:p>
    <w:p>
      <w:pPr>
        <w:pStyle w:val="ListBullet"/>
        <w:spacing w:after="40"/>
      </w:pPr>
      <w:r>
        <w:t>2,000 AI messages / month</w:t>
      </w:r>
    </w:p>
    <w:p>
      <w:pPr>
        <w:pStyle w:val="ListBullet"/>
        <w:spacing w:after="40"/>
      </w:pPr>
      <w:r>
        <w:t>Up to 2 languages</w:t>
      </w:r>
    </w:p>
    <w:p>
      <w:pPr>
        <w:pStyle w:val="ListBullet"/>
        <w:spacing w:after="40"/>
      </w:pPr>
      <w:r>
        <w:t>AI Knowledge Base</w:t>
      </w:r>
    </w:p>
    <w:p>
      <w:pPr>
        <w:pStyle w:val="ListBullet"/>
        <w:spacing w:after="40"/>
      </w:pPr>
      <w:r>
        <w:t>Limited smart routing</w:t>
      </w:r>
    </w:p>
    <w:p>
      <w:pPr>
        <w:pStyle w:val="ListBullet"/>
        <w:spacing w:after="40"/>
      </w:pPr>
      <w:r>
        <w:t>Human escalation</w:t>
      </w:r>
    </w:p>
    <w:p>
      <w:pPr>
        <w:pStyle w:val="ListBullet"/>
        <w:spacing w:after="40"/>
      </w:pPr>
      <w:r>
        <w:t>Basic staff dashboard &amp; analytics</w:t>
      </w:r>
    </w:p>
    <w:p>
      <w:pPr>
        <w:pStyle w:val="ListBullet"/>
        <w:spacing w:after="40"/>
      </w:pPr>
      <w:r>
        <w:t>Basic notifications &amp; automation</w:t>
      </w:r>
    </w:p>
    <w:p>
      <w:pPr>
        <w:pStyle w:val="ListBullet"/>
        <w:spacing w:after="40"/>
      </w:pPr>
      <w:r>
        <w:t>15-day data retention</w:t>
      </w:r>
    </w:p>
    <w:p>
      <w:pPr>
        <w:pStyle w:val="ListBullet"/>
        <w:spacing w:after="40"/>
      </w:pPr>
      <w:r>
        <w:t>Monitoring</w:t>
      </w:r>
    </w:p>
    <w:p>
      <w:pPr>
        <w:pStyle w:val="Heading2"/>
      </w:pPr>
      <w:r>
        <w:t>ADVANCED AI AGENT — RECOMMENDED</w:t>
      </w:r>
    </w:p>
    <w:p>
      <w:r>
        <w:t>Singapore: SGD 299/Agent/month  |  Malaysia: RM899/Agent/month</w:t>
      </w:r>
    </w:p>
    <w:p>
      <w:r>
        <w:t>Or pay annually and save 10%: Singapore SGD3,230/Agent/year | Malaysia RM9,710/Agent/year</w:t>
      </w:r>
    </w:p>
    <w:p>
      <w:r>
        <w:t>One-time implementation: Singapore SGD679/Agent | Malaysia RM1,999/Agent</w:t>
      </w:r>
    </w:p>
    <w:p>
      <w:pPr>
        <w:pStyle w:val="ListBullet"/>
        <w:spacing w:after="40"/>
      </w:pPr>
      <w:r>
        <w:t>10,000 AI messages / month</w:t>
      </w:r>
    </w:p>
    <w:p>
      <w:pPr>
        <w:pStyle w:val="ListBullet"/>
        <w:spacing w:after="40"/>
      </w:pPr>
      <w:r>
        <w:t>Up to 4 languages</w:t>
      </w:r>
    </w:p>
    <w:p>
      <w:pPr>
        <w:pStyle w:val="ListBullet"/>
        <w:spacing w:after="40"/>
      </w:pPr>
      <w:r>
        <w:t>AI Knowledge Base</w:t>
      </w:r>
    </w:p>
    <w:p>
      <w:pPr>
        <w:pStyle w:val="ListBullet"/>
        <w:spacing w:after="40"/>
      </w:pPr>
      <w:r>
        <w:t>Smart routing</w:t>
      </w:r>
    </w:p>
    <w:p>
      <w:pPr>
        <w:pStyle w:val="ListBullet"/>
        <w:spacing w:after="40"/>
      </w:pPr>
      <w:r>
        <w:t>Human escalation</w:t>
      </w:r>
    </w:p>
    <w:p>
      <w:pPr>
        <w:pStyle w:val="ListBullet"/>
        <w:spacing w:after="40"/>
      </w:pPr>
      <w:r>
        <w:t>Advanced staff dashboard &amp; analytics</w:t>
      </w:r>
    </w:p>
    <w:p>
      <w:pPr>
        <w:pStyle w:val="ListBullet"/>
        <w:spacing w:after="40"/>
      </w:pPr>
      <w:r>
        <w:t>Daily reports</w:t>
      </w:r>
    </w:p>
    <w:p>
      <w:pPr>
        <w:pStyle w:val="ListBullet"/>
        <w:spacing w:after="40"/>
      </w:pPr>
      <w:r>
        <w:t>Advanced notifications &amp; automation</w:t>
      </w:r>
    </w:p>
    <w:p>
      <w:pPr>
        <w:pStyle w:val="ListBullet"/>
        <w:spacing w:after="40"/>
      </w:pPr>
      <w:r>
        <w:t>30-day data retention</w:t>
      </w:r>
    </w:p>
    <w:p>
      <w:pPr>
        <w:pStyle w:val="ListBullet"/>
        <w:spacing w:after="40"/>
      </w:pPr>
      <w:r>
        <w:t>Monitoring</w:t>
      </w:r>
    </w:p>
    <w:p>
      <w:pPr>
        <w:pStyle w:val="Heading2"/>
      </w:pPr>
      <w:r>
        <w:t>PREMIUM AI AGENT</w:t>
      </w:r>
    </w:p>
    <w:p>
      <w:r>
        <w:t>Singapore: SGD 799/Agent/month  |  Malaysia: RM2,499/Agent/month</w:t>
      </w:r>
    </w:p>
    <w:p>
      <w:r>
        <w:t>Or pay annually and save 10%: Singapore SGD8,630/Agent/year | Malaysia RM26,990/Agent/year</w:t>
      </w:r>
    </w:p>
    <w:p>
      <w:r>
        <w:t>One-time implementation: Singapore SGD679/Agent | Malaysia RM1,999/Agent</w:t>
      </w:r>
    </w:p>
    <w:p>
      <w:pPr>
        <w:pStyle w:val="ListBullet"/>
        <w:spacing w:after="40"/>
      </w:pPr>
      <w:r>
        <w:t>10,000 AI interactions / month</w:t>
      </w:r>
    </w:p>
    <w:p>
      <w:pPr>
        <w:pStyle w:val="ListBullet"/>
        <w:spacing w:after="40"/>
      </w:pPr>
      <w:r>
        <w:t>Up to 6 languages</w:t>
      </w:r>
    </w:p>
    <w:p>
      <w:pPr>
        <w:pStyle w:val="ListBullet"/>
        <w:spacing w:after="40"/>
      </w:pPr>
      <w:r>
        <w:t>AI Knowledge Base</w:t>
      </w:r>
    </w:p>
    <w:p>
      <w:pPr>
        <w:pStyle w:val="ListBullet"/>
        <w:spacing w:after="40"/>
      </w:pPr>
      <w:r>
        <w:t>Advanced routing &amp; automation</w:t>
      </w:r>
    </w:p>
    <w:p>
      <w:pPr>
        <w:pStyle w:val="ListBullet"/>
        <w:spacing w:after="40"/>
      </w:pPr>
      <w:r>
        <w:t>Premium dashboard &amp; analytics</w:t>
      </w:r>
    </w:p>
    <w:p>
      <w:pPr>
        <w:pStyle w:val="ListBullet"/>
        <w:spacing w:after="40"/>
      </w:pPr>
      <w:r>
        <w:t>Daily reports &amp; advanced notifications</w:t>
      </w:r>
    </w:p>
    <w:p>
      <w:pPr>
        <w:pStyle w:val="ListBullet"/>
        <w:spacing w:after="40"/>
      </w:pPr>
      <w:r>
        <w:t>30-day data retention</w:t>
      </w:r>
    </w:p>
    <w:p>
      <w:pPr>
        <w:pStyle w:val="ListBullet"/>
        <w:spacing w:after="40"/>
      </w:pPr>
      <w:r>
        <w:t>1,000 WhatsApp Voice minutes / month</w:t>
      </w:r>
    </w:p>
    <w:p>
      <w:pPr>
        <w:pStyle w:val="ListBullet"/>
        <w:spacing w:after="40"/>
      </w:pPr>
      <w:r>
        <w:t>500 Twilio Video participant-minutes / month</w:t>
      </w:r>
    </w:p>
    <w:p>
      <w:pPr>
        <w:pStyle w:val="ListBullet"/>
        <w:spacing w:after="40"/>
      </w:pPr>
      <w:r>
        <w:t>Twilio integration</w:t>
      </w:r>
    </w:p>
    <w:p>
      <w:pPr>
        <w:pStyle w:val="ListBullet"/>
        <w:spacing w:after="40"/>
      </w:pPr>
      <w:r>
        <w:t>Monitoring</w:t>
      </w:r>
    </w:p>
    <w:p>
      <w:r>
        <w:t>Card footer for all plans: “Not sure which AI Agent package is right for your workflow? Speak with Vouza before subscribing. We will recommend the most suitable Agent package and implementation scope. The one-time implementation fee is charged once per customer account, not per plan or per Agent — it only applies to your first AI Agent.”</w:t>
      </w:r>
    </w:p>
    <w:p>
      <w:pPr>
        <w:pStyle w:val="Heading1"/>
      </w:pPr>
      <w:r>
        <w:t>6. Customer Guide Before Payment</w:t>
      </w:r>
    </w:p>
    <w:p>
      <w:r>
        <w:t>Recommended website section: “Prepare Your AI Workflow Before Your Consultation”.</w:t>
      </w:r>
    </w:p>
    <w:p>
      <w:r>
        <w:t>To speed up your consultation, you may use ChatGPT, Claude or Gemini to prepare a draft of your business workflow before speaking with Vouza. You do not need to have a perfect workflow. Vouza will review, refine and translate the draft into an implementable AI Agent solution.</w:t>
      </w:r>
    </w:p>
    <w:p>
      <w:pPr>
        <w:pStyle w:val="Heading2"/>
      </w:pPr>
      <w:r>
        <w:t>Customer workflow preparation prompt</w:t>
      </w:r>
    </w:p>
    <w:p>
      <w:pPr>
        <w:pStyle w:val="IntenseQuote"/>
      </w:pPr>
      <w:r>
        <w:t>I am planning to implement an AI Agent for my business. Please help me map out the complete workflow.</w:t>
        <w:br/>
        <w:br/>
        <w:t>Business type:</w:t>
        <w:br/>
        <w:t>Main products/services:</w:t>
        <w:br/>
        <w:t>Target customers:</w:t>
        <w:br/>
        <w:t>Current customer enquiry process:</w:t>
        <w:br/>
        <w:t>Common customer questions:</w:t>
        <w:br/>
        <w:t>Information the AI needs:</w:t>
        <w:br/>
        <w:t>Knowledge/document sources:</w:t>
        <w:br/>
        <w:t>What the AI should be allowed to do:</w:t>
        <w:br/>
        <w:t>What the AI should NOT do:</w:t>
        <w:br/>
        <w:t>When human staff should take over:</w:t>
        <w:br/>
        <w:t>Staff/department responsible:</w:t>
        <w:br/>
        <w:t>Escalation rules:</w:t>
        <w:br/>
        <w:t>Notifications required:</w:t>
        <w:br/>
        <w:t>Reports required:</w:t>
        <w:br/>
        <w:t>Automation required:</w:t>
        <w:br/>
        <w:t>Languages required:</w:t>
        <w:br/>
        <w:t>WhatsApp requirements:</w:t>
        <w:br/>
        <w:t>Other systems that need integration:</w:t>
        <w:br/>
        <w:t>Expected enquiry volume:</w:t>
        <w:br/>
        <w:t>Examples of typical customer conversations:</w:t>
        <w:br/>
        <w:br/>
        <w:t>Please create:</w:t>
        <w:br/>
        <w:t>1. Customer journey</w:t>
        <w:br/>
        <w:t>2. AI Agent workflow</w:t>
        <w:br/>
        <w:t>3. Decision tree</w:t>
        <w:br/>
        <w:t>4. Human escalation workflow</w:t>
        <w:br/>
        <w:t>5. Required knowledge base</w:t>
        <w:br/>
        <w:t>6. Automation requirements</w:t>
        <w:br/>
        <w:t>7. Integration requirements</w:t>
        <w:br/>
        <w:t>8. Risks, limitations and missing information</w:t>
        <w:br/>
        <w:t>9. Suggested AI Agent roles if more than one Agent is appropriate.</w:t>
      </w:r>
    </w:p>
    <w:p>
      <w:pPr>
        <w:pStyle w:val="Heading2"/>
      </w:pPr>
      <w:r>
        <w:t>Information customers should provide to Vouza</w:t>
      </w:r>
    </w:p>
    <w:p>
      <w:pPr>
        <w:pStyle w:val="ListBullet"/>
        <w:spacing w:after="40"/>
      </w:pPr>
      <w:r>
        <w:t>Company name and business type</w:t>
      </w:r>
    </w:p>
    <w:p>
      <w:pPr>
        <w:pStyle w:val="ListBullet"/>
        <w:spacing w:after="40"/>
      </w:pPr>
      <w:r>
        <w:t>Website and existing business information</w:t>
      </w:r>
    </w:p>
    <w:p>
      <w:pPr>
        <w:pStyle w:val="ListBullet"/>
        <w:spacing w:after="40"/>
      </w:pPr>
      <w:r>
        <w:t>Products/services and pricing information where applicable</w:t>
      </w:r>
    </w:p>
    <w:p>
      <w:pPr>
        <w:pStyle w:val="ListBullet"/>
        <w:spacing w:after="40"/>
      </w:pPr>
      <w:r>
        <w:t>FAQs, policies, brochures, catalogues and documents</w:t>
      </w:r>
    </w:p>
    <w:p>
      <w:pPr>
        <w:pStyle w:val="ListBullet"/>
        <w:spacing w:after="40"/>
      </w:pPr>
      <w:r>
        <w:t>Current customer enquiry workflow</w:t>
      </w:r>
    </w:p>
    <w:p>
      <w:pPr>
        <w:pStyle w:val="ListBullet"/>
        <w:spacing w:after="40"/>
      </w:pPr>
      <w:r>
        <w:t>Departments/staff responsible for escalation</w:t>
      </w:r>
    </w:p>
    <w:p>
      <w:pPr>
        <w:pStyle w:val="ListBullet"/>
        <w:spacing w:after="40"/>
      </w:pPr>
      <w:r>
        <w:t>Operating hours and emergency/after-hours rules</w:t>
      </w:r>
    </w:p>
    <w:p>
      <w:pPr>
        <w:pStyle w:val="ListBullet"/>
        <w:spacing w:after="40"/>
      </w:pPr>
      <w:r>
        <w:t>Languages required</w:t>
      </w:r>
    </w:p>
    <w:p>
      <w:pPr>
        <w:pStyle w:val="ListBullet"/>
        <w:spacing w:after="40"/>
      </w:pPr>
      <w:r>
        <w:t>Expected monthly enquiry volume</w:t>
      </w:r>
    </w:p>
    <w:p>
      <w:pPr>
        <w:pStyle w:val="ListBullet"/>
        <w:spacing w:after="40"/>
      </w:pPr>
      <w:r>
        <w:t>WhatsApp number(s) and desired communication channels</w:t>
      </w:r>
    </w:p>
    <w:p>
      <w:pPr>
        <w:pStyle w:val="ListBullet"/>
        <w:spacing w:after="40"/>
      </w:pPr>
      <w:r>
        <w:t>Required integrations</w:t>
      </w:r>
    </w:p>
    <w:p>
      <w:pPr>
        <w:pStyle w:val="ListBullet"/>
        <w:spacing w:after="40"/>
      </w:pPr>
      <w:r>
        <w:t>Examples of good and bad customer enquiries</w:t>
      </w:r>
    </w:p>
    <w:p>
      <w:pPr>
        <w:pStyle w:val="ListBullet"/>
        <w:spacing w:after="40"/>
      </w:pPr>
      <w:r>
        <w:t>Any regulatory, privacy, confidentiality or data-retention requirements</w:t>
      </w:r>
    </w:p>
    <w:p>
      <w:pPr>
        <w:pStyle w:val="Heading2"/>
      </w:pPr>
      <w:r>
        <w:t>Consultation outcome</w:t>
      </w:r>
    </w:p>
    <w:p>
      <w:pPr>
        <w:pStyle w:val="ListBullet"/>
        <w:spacing w:after="40"/>
      </w:pPr>
      <w:r>
        <w:t>Recommended number of AI Agents.</w:t>
      </w:r>
    </w:p>
    <w:p>
      <w:pPr>
        <w:pStyle w:val="ListBullet"/>
        <w:spacing w:after="40"/>
      </w:pPr>
      <w:r>
        <w:t>Recommended Basic / Advanced / Premium package for each Agent.</w:t>
      </w:r>
    </w:p>
    <w:p>
      <w:pPr>
        <w:pStyle w:val="ListBullet"/>
        <w:spacing w:after="40"/>
      </w:pPr>
      <w:r>
        <w:t>Languages and usage allowances.</w:t>
      </w:r>
    </w:p>
    <w:p>
      <w:pPr>
        <w:pStyle w:val="ListBullet"/>
        <w:spacing w:after="40"/>
      </w:pPr>
      <w:r>
        <w:t>Workflow and automation scope.</w:t>
      </w:r>
    </w:p>
    <w:p>
      <w:pPr>
        <w:pStyle w:val="ListBullet"/>
        <w:spacing w:after="40"/>
      </w:pPr>
      <w:r>
        <w:t>Required integrations.</w:t>
      </w:r>
    </w:p>
    <w:p>
      <w:pPr>
        <w:pStyle w:val="ListBullet"/>
        <w:spacing w:after="40"/>
      </w:pPr>
      <w:r>
        <w:t>Knowledge Base scope.</w:t>
      </w:r>
    </w:p>
    <w:p>
      <w:pPr>
        <w:pStyle w:val="ListBullet"/>
        <w:spacing w:after="40"/>
      </w:pPr>
      <w:r>
        <w:t>Human escalation rules.</w:t>
      </w:r>
    </w:p>
    <w:p>
      <w:pPr>
        <w:pStyle w:val="ListBullet"/>
        <w:spacing w:after="40"/>
      </w:pPr>
      <w:r>
        <w:t>Implementation effort and timeline estimate.</w:t>
      </w:r>
    </w:p>
    <w:p>
      <w:pPr>
        <w:pStyle w:val="ListBullet"/>
        <w:spacing w:after="40"/>
      </w:pPr>
      <w:r>
        <w:t>One-time setup fees and monthly subscription fees.</w:t>
      </w:r>
    </w:p>
    <w:p>
      <w:pPr>
        <w:pStyle w:val="ListBullet"/>
        <w:spacing w:after="40"/>
      </w:pPr>
      <w:r>
        <w:t>Any third-party costs or services that may apply.</w:t>
      </w:r>
    </w:p>
    <w:p>
      <w:r>
        <w:br w:type="page"/>
      </w:r>
    </w:p>
    <w:p>
      <w:pPr>
        <w:pStyle w:val="Heading1"/>
      </w:pPr>
      <w:r>
        <w:t>7. Complete Pre-Payment Sales Process</w:t>
      </w:r>
    </w:p>
    <w:p>
      <w:r>
        <w:rPr>
          <w:b/>
        </w:rPr>
        <w:t xml:space="preserve">1. Customer enquiry: </w:t>
      </w:r>
      <w:r>
        <w:t>Customer contacts Vouza Customer Service / requests consultation.</w:t>
      </w:r>
    </w:p>
    <w:p>
      <w:r>
        <w:rPr>
          <w:b/>
        </w:rPr>
        <w:t xml:space="preserve">2. Initial qualification: </w:t>
      </w:r>
      <w:r>
        <w:t>Vouza identifies business type, intended AI use case, expected volume and whether one or multiple Agents are likely.</w:t>
      </w:r>
    </w:p>
    <w:p>
      <w:r>
        <w:rPr>
          <w:b/>
        </w:rPr>
        <w:t xml:space="preserve">3. Workflow preparation: </w:t>
      </w:r>
      <w:r>
        <w:t>Customer may provide a workflow prepared with ChatGPT, Claude or Gemini, together with documents and examples.</w:t>
      </w:r>
    </w:p>
    <w:p>
      <w:r>
        <w:rPr>
          <w:b/>
        </w:rPr>
        <w:t xml:space="preserve">4. Vouza workflow consultation: </w:t>
      </w:r>
      <w:r>
        <w:t>Vouza reviews the draft, asks clarification questions and maps the actual business workflow.</w:t>
      </w:r>
    </w:p>
    <w:p>
      <w:r>
        <w:rPr>
          <w:b/>
        </w:rPr>
        <w:t xml:space="preserve">5. Agent architecture: </w:t>
      </w:r>
      <w:r>
        <w:t>Vouza determines whether the requirement is best handled by one Agent or multiple specialised Agents.</w:t>
      </w:r>
    </w:p>
    <w:p>
      <w:r>
        <w:rPr>
          <w:b/>
        </w:rPr>
        <w:t xml:space="preserve">6. Package recommendation: </w:t>
      </w:r>
      <w:r>
        <w:t>Vouza recommends Basic, Advanced or Premium for each Agent.</w:t>
      </w:r>
    </w:p>
    <w:p>
      <w:r>
        <w:rPr>
          <w:b/>
        </w:rPr>
        <w:t xml:space="preserve">7. Scope confirmation: </w:t>
      </w:r>
      <w:r>
        <w:t>Vouza confirms languages, usage, integrations, routing, escalation, automation, knowledge sources and implementation scope.</w:t>
      </w:r>
    </w:p>
    <w:p>
      <w:r>
        <w:rPr>
          <w:b/>
        </w:rPr>
        <w:t xml:space="preserve">8. Proposal / quotation: </w:t>
      </w:r>
      <w:r>
        <w:t>Customer receives a clear proposal showing each Agent, monthly subscription, one-time setup fee, any approved third-party charges and implementation assumptions.</w:t>
      </w:r>
    </w:p>
    <w:p>
      <w:r>
        <w:rPr>
          <w:b/>
        </w:rPr>
        <w:t xml:space="preserve">9. Customer approval: </w:t>
      </w:r>
      <w:r>
        <w:t>Customer confirms the proposal and accepts the customer agreement/policy.</w:t>
      </w:r>
    </w:p>
    <w:p>
      <w:r>
        <w:rPr>
          <w:b/>
        </w:rPr>
        <w:t xml:space="preserve">10. Payment: </w:t>
      </w:r>
      <w:r>
        <w:t>Customer pays the one-time setup fee plus first month subscription for each approved Agent through the approved payment method.</w:t>
      </w:r>
    </w:p>
    <w:p>
      <w:r>
        <w:rPr>
          <w:b/>
        </w:rPr>
        <w:t xml:space="preserve">11. Payment confirmation: </w:t>
      </w:r>
      <w:r>
        <w:t>Vouza confirms successful payment and creates the implementation project.</w:t>
      </w:r>
    </w:p>
    <w:p>
      <w:pPr>
        <w:pStyle w:val="Heading2"/>
      </w:pPr>
      <w:r>
        <w:t>Recommended website CTA</w:t>
      </w:r>
    </w:p>
    <w:p>
      <w:r>
        <w:rPr>
          <w:b/>
        </w:rPr>
        <w:t>Book Your AI Workflow Consultation</w:t>
      </w:r>
    </w:p>
    <w:p>
      <w:r>
        <w:t>“Every business workflow is different. Tell us what you want your AI Agent to do, and Vouza will recommend the most suitable AI Agent package before you subscribe.”</w:t>
      </w:r>
    </w:p>
    <w:p>
      <w:pPr>
        <w:pStyle w:val="Heading2"/>
      </w:pPr>
      <w:r>
        <w:t>Recommended payment page guidance</w:t>
      </w:r>
    </w:p>
    <w:p>
      <w:pPr>
        <w:pStyle w:val="ListBullet"/>
        <w:spacing w:after="40"/>
      </w:pPr>
      <w:r>
        <w:t>The checkout must clearly state that pricing is per AI Agent.</w:t>
      </w:r>
    </w:p>
    <w:p>
      <w:pPr>
        <w:pStyle w:val="ListBullet"/>
        <w:spacing w:after="40"/>
      </w:pPr>
      <w:r>
        <w:t>The checkout must show the selected Agent/package, currency, monthly subscription and one-time setup fee.</w:t>
      </w:r>
    </w:p>
    <w:p>
      <w:pPr>
        <w:pStyle w:val="ListBullet"/>
        <w:spacing w:after="40"/>
      </w:pPr>
      <w:r>
        <w:t>The setup fee must be clearly identified as a one-time implementation fee and must not renew.</w:t>
      </w:r>
    </w:p>
    <w:p>
      <w:pPr>
        <w:pStyle w:val="ListBullet"/>
        <w:spacing w:after="40"/>
      </w:pPr>
      <w:r>
        <w:t>The customer must confirm acceptance of the Customer Agreement and AI Agent Service Policy before payment.</w:t>
      </w:r>
    </w:p>
    <w:p>
      <w:pPr>
        <w:pStyle w:val="ListBullet"/>
        <w:spacing w:after="40"/>
      </w:pPr>
      <w:r>
        <w:t>Any third-party usage charges that are not included in the package must be disclosed before payment.</w:t>
      </w:r>
    </w:p>
    <w:p>
      <w:pPr>
        <w:pStyle w:val="ListBullet"/>
        <w:spacing w:after="40"/>
      </w:pPr>
      <w:r>
        <w:t>The customer should see the first payment total before confirming payment.</w:t>
      </w:r>
    </w:p>
    <w:p>
      <w:pPr>
        <w:pStyle w:val="ListBullet"/>
        <w:spacing w:after="40"/>
      </w:pPr>
      <w:r>
        <w:t>For recurring subscriptions, the customer should be shown the recurring amount and billing frequency.</w:t>
      </w:r>
    </w:p>
    <w:p>
      <w:pPr>
        <w:pStyle w:val="Heading1"/>
      </w:pPr>
      <w:r>
        <w:t>8. Post-Payment Implementation Process</w:t>
      </w:r>
    </w:p>
    <w:p>
      <w:r>
        <w:rPr>
          <w:b/>
        </w:rPr>
        <w:t xml:space="preserve">Payment received: </w:t>
      </w:r>
      <w:r>
        <w:t>Create customer, project and Agent record. Record package, currency, billing interval, setup fee, usage allowance and payment status.</w:t>
      </w:r>
    </w:p>
    <w:p>
      <w:r>
        <w:rPr>
          <w:b/>
        </w:rPr>
        <w:t xml:space="preserve">Meta Embedded Signup: </w:t>
      </w:r>
      <w:r>
        <w:t>Vouza sends the customer a secure link to complete Meta Embedded Signup. This link is only provided after payment is confirmed. The customer connects their Meta Business Portfolio and WhatsApp number; Vouza registers the sender to a dedicated Twilio subaccount for that customer. If the customer’s WhatsApp number is already active with another provider, Vouza confirms the migration path with the customer before Embedded Signup, as the registration process differs from a fresh number.</w:t>
      </w:r>
    </w:p>
    <w:p>
      <w:r>
        <w:rPr>
          <w:b/>
        </w:rPr>
        <w:t xml:space="preserve">Kick-off: </w:t>
      </w:r>
      <w:r>
        <w:t>Vouza contacts customer and schedules workflow discovery / implementation session.</w:t>
      </w:r>
    </w:p>
    <w:p>
      <w:r>
        <w:rPr>
          <w:b/>
        </w:rPr>
        <w:t xml:space="preserve">Workflow validation: </w:t>
      </w:r>
      <w:r>
        <w:t>Review the customer's prepared workflow and confirm actual process, exceptions and escalation rules.</w:t>
      </w:r>
    </w:p>
    <w:p>
      <w:r>
        <w:rPr>
          <w:b/>
        </w:rPr>
        <w:t xml:space="preserve">Knowledge Base collection: </w:t>
      </w:r>
      <w:r>
        <w:t>Collect website content, FAQs, documents, catalogues, policies, service information and other approved knowledge sources.</w:t>
      </w:r>
    </w:p>
    <w:p>
      <w:r>
        <w:rPr>
          <w:b/>
        </w:rPr>
        <w:t xml:space="preserve">Agent configuration: </w:t>
      </w:r>
      <w:r>
        <w:t>Configure Agent identity, role, instructions, knowledge retrieval, language settings, routing, automation and escalation.</w:t>
      </w:r>
    </w:p>
    <w:p>
      <w:r>
        <w:rPr>
          <w:b/>
        </w:rPr>
        <w:t xml:space="preserve">Integration configuration: </w:t>
      </w:r>
      <w:r>
        <w:t>Configure approved WhatsApp, dashboard, email, CRM or other integrations within the agreed scope.</w:t>
      </w:r>
    </w:p>
    <w:p>
      <w:r>
        <w:rPr>
          <w:b/>
        </w:rPr>
        <w:t xml:space="preserve">Conversation design: </w:t>
      </w:r>
      <w:r>
        <w:t>Create representative customer journeys, decision paths and fallback responses.</w:t>
      </w:r>
    </w:p>
    <w:p>
      <w:r>
        <w:rPr>
          <w:b/>
        </w:rPr>
        <w:t xml:space="preserve">Testing: </w:t>
      </w:r>
      <w:r>
        <w:t>Test normal questions, ambiguous questions, unsupported questions, escalation, language handling, media handling, routing and error scenarios.</w:t>
      </w:r>
    </w:p>
    <w:p>
      <w:r>
        <w:rPr>
          <w:b/>
        </w:rPr>
        <w:t xml:space="preserve">Customer acceptance testing: </w:t>
      </w:r>
      <w:r>
        <w:t>Customer reviews agreed workflows and provides acceptance feedback.</w:t>
      </w:r>
    </w:p>
    <w:p>
      <w:r>
        <w:rPr>
          <w:b/>
        </w:rPr>
        <w:t xml:space="preserve">Corrections: </w:t>
      </w:r>
      <w:r>
        <w:t>Vouza corrects implementation issues within the agreed implementation scope.</w:t>
      </w:r>
    </w:p>
    <w:p>
      <w:r>
        <w:rPr>
          <w:b/>
        </w:rPr>
        <w:t xml:space="preserve">Go-live: </w:t>
      </w:r>
      <w:r>
        <w:t>Activate the Agent after customer approval.</w:t>
      </w:r>
    </w:p>
    <w:p>
      <w:r>
        <w:rPr>
          <w:b/>
        </w:rPr>
        <w:t xml:space="preserve">Monitoring: </w:t>
      </w:r>
      <w:r>
        <w:t>Monitor Agent health, usage, errors, escalations and operational behaviour.</w:t>
      </w:r>
    </w:p>
    <w:p>
      <w:r>
        <w:rPr>
          <w:b/>
        </w:rPr>
        <w:t xml:space="preserve">Monthly service: </w:t>
      </w:r>
      <w:r>
        <w:t>Continue subscription, usage monitoring, reporting and support according to the selected package.</w:t>
      </w:r>
    </w:p>
    <w:p>
      <w:r>
        <w:rPr>
          <w:b/>
        </w:rPr>
        <w:t xml:space="preserve">Expansion: </w:t>
      </w:r>
      <w:r>
        <w:t>Recommend additional Agents, upgrades or integrations when the customer's workflow grows.</w:t>
      </w:r>
    </w:p>
    <w:p>
      <w:pPr>
        <w:pStyle w:val="Heading1"/>
      </w:pPr>
      <w:r>
        <w:t>9. AI Agent Go-Live Acceptance Checklist</w:t>
      </w:r>
    </w:p>
    <w:p>
      <w:pPr>
        <w:pStyle w:val="ListBullet"/>
        <w:spacing w:after="40"/>
      </w:pPr>
      <w:r>
        <w:t>Business information is correct.</w:t>
      </w:r>
    </w:p>
    <w:p>
      <w:pPr>
        <w:pStyle w:val="ListBullet"/>
        <w:spacing w:after="40"/>
      </w:pPr>
      <w:r>
        <w:t>Knowledge Base sources have been approved.</w:t>
      </w:r>
    </w:p>
    <w:p>
      <w:pPr>
        <w:pStyle w:val="ListBullet"/>
        <w:spacing w:after="40"/>
      </w:pPr>
      <w:r>
        <w:t>Agent role and scope are correct.</w:t>
      </w:r>
    </w:p>
    <w:p>
      <w:pPr>
        <w:pStyle w:val="ListBullet"/>
        <w:spacing w:after="40"/>
      </w:pPr>
      <w:r>
        <w:t>Supported languages have been tested.</w:t>
      </w:r>
    </w:p>
    <w:p>
      <w:pPr>
        <w:pStyle w:val="ListBullet"/>
        <w:spacing w:after="40"/>
      </w:pPr>
      <w:r>
        <w:t>Customer FAQs have been tested.</w:t>
      </w:r>
    </w:p>
    <w:p>
      <w:pPr>
        <w:pStyle w:val="ListBullet"/>
        <w:spacing w:after="40"/>
      </w:pPr>
      <w:r>
        <w:t>Unknown/out-of-scope questions trigger appropriate fallback.</w:t>
      </w:r>
    </w:p>
    <w:p>
      <w:pPr>
        <w:pStyle w:val="ListBullet"/>
        <w:spacing w:after="40"/>
      </w:pPr>
      <w:r>
        <w:t>Human escalation works.</w:t>
      </w:r>
    </w:p>
    <w:p>
      <w:pPr>
        <w:pStyle w:val="ListBullet"/>
        <w:spacing w:after="40"/>
      </w:pPr>
      <w:r>
        <w:t>Routing works.</w:t>
      </w:r>
    </w:p>
    <w:p>
      <w:pPr>
        <w:pStyle w:val="ListBullet"/>
        <w:spacing w:after="40"/>
      </w:pPr>
      <w:r>
        <w:t>Notifications work where included.</w:t>
      </w:r>
    </w:p>
    <w:p>
      <w:pPr>
        <w:pStyle w:val="ListBullet"/>
        <w:spacing w:after="40"/>
      </w:pPr>
      <w:r>
        <w:t>Reports work where included.</w:t>
      </w:r>
    </w:p>
    <w:p>
      <w:pPr>
        <w:pStyle w:val="ListBullet"/>
        <w:spacing w:after="40"/>
      </w:pPr>
      <w:r>
        <w:t>WhatsApp media handling works where included.</w:t>
      </w:r>
    </w:p>
    <w:p>
      <w:pPr>
        <w:pStyle w:val="ListBullet"/>
        <w:spacing w:after="40"/>
      </w:pPr>
      <w:r>
        <w:t>Voice/video functionality is tested for Premium where applicable.</w:t>
      </w:r>
    </w:p>
    <w:p>
      <w:pPr>
        <w:pStyle w:val="ListBullet"/>
        <w:spacing w:after="40"/>
      </w:pPr>
      <w:r>
        <w:t>Data retention settings are configured according to the agreed policy.</w:t>
      </w:r>
    </w:p>
    <w:p>
      <w:pPr>
        <w:pStyle w:val="ListBullet"/>
        <w:spacing w:after="40"/>
      </w:pPr>
      <w:r>
        <w:t>Customer has completed acceptance testing.</w:t>
      </w:r>
    </w:p>
    <w:p>
      <w:pPr>
        <w:pStyle w:val="ListBullet"/>
        <w:spacing w:after="40"/>
      </w:pPr>
      <w:r>
        <w:t>Customer has approved go-live.</w:t>
      </w:r>
    </w:p>
    <w:p>
      <w:r>
        <w:br w:type="page"/>
      </w:r>
    </w:p>
    <w:p>
      <w:pPr>
        <w:pStyle w:val="Heading1"/>
      </w:pPr>
      <w:r>
        <w:t>10. Customer Agreement &amp; AI Agent Service Policy</w:t>
      </w:r>
    </w:p>
    <w:p>
      <w:r>
        <w:t>The following is a customer-facing draft. It should be reviewed by Vouza's legal adviser before being adopted as the final legal contract.</w:t>
      </w:r>
    </w:p>
    <w:p>
      <w:pPr>
        <w:pStyle w:val="Heading2"/>
      </w:pPr>
      <w:r>
        <w:t>10.1 Service Scope</w:t>
      </w:r>
    </w:p>
    <w:p>
      <w:r>
        <w:t>Vouza AI provides AI Agent configuration, workflow automation, knowledge-base services, integrations and related managed AI services according to the selected package and agreed implementation scope.</w:t>
      </w:r>
    </w:p>
    <w:p>
      <w:pPr>
        <w:pStyle w:val="Heading2"/>
      </w:pPr>
      <w:r>
        <w:t>10.2 Subscription per AI Agent</w:t>
      </w:r>
    </w:p>
    <w:p>
      <w:r>
        <w:t>Each subscription applies to one AI Agent. A customer may operate multiple AI Agents under one company/project, with each Agent billed separately according to its selected package.</w:t>
      </w:r>
    </w:p>
    <w:p>
      <w:pPr>
        <w:pStyle w:val="Heading2"/>
      </w:pPr>
      <w:r>
        <w:t>10.3 Implementation / Setup Fee</w:t>
      </w:r>
    </w:p>
    <w:p>
      <w:r>
        <w:t>A one-time implementation and setup fee applies once per customer account, regardless of the number of AI Agents subscribed under that account. Only the first AI Agent subscribed by a customer is charged the setup fee; additional Agents added later under the same account are not charged again. The fee covers onboarding, workflow configuration, knowledge-base setup, Agent configuration, agreed routing/automation, testing and go-live support within the agreed scope. The fee is separate from the recurring monthly subscription and does not renew.</w:t>
      </w:r>
    </w:p>
    <w:p>
      <w:r>
        <w:t>The one-time implementation and setup fee becomes non-refundable once implementation work has commenced, except where a refund is required by applicable law or expressly agreed by Vouza in writing.</w:t>
      </w:r>
    </w:p>
    <w:p>
      <w:pPr>
        <w:pStyle w:val="Heading2"/>
      </w:pPr>
      <w:r>
        <w:t>10.4 Subscription Billing</w:t>
      </w:r>
    </w:p>
    <w:p>
      <w:r>
        <w:t>The subscription is billed per AI Agent at the selected plan rate, either monthly or annually at the customer's choice. Annual billing is charged as a single upfront payment at a 10% discount to the equivalent monthly cost. The cancellation and renewal terms in Section 10.13 apply the same way regardless of billing interval — for an annual subscription, the current paid period is the full year already paid for. The customer is responsible for ensuring that the selected package remains suitable for its actual usage and workflow.</w:t>
      </w:r>
    </w:p>
    <w:p>
      <w:pPr>
        <w:pStyle w:val="Heading2"/>
      </w:pPr>
      <w:r>
        <w:t>10.5 Usage Allowances</w:t>
      </w:r>
    </w:p>
    <w:p>
      <w:r>
        <w:t>Included AI message or interaction allowances are usage allowances provided by Vouza and are separate from third-party platform billing units. Vouza may record text, image, audio, video, document and interactive interactions separately for operational and cost management purposes.</w:t>
      </w:r>
    </w:p>
    <w:p>
      <w:r>
        <w:t>Third-party platform charges, including Meta/WhatsApp, Twilio, AI model providers, cloud services or other external services, may apply depending on the selected functionality and customer usage. Any chargeable third-party service that is not included in the package will be disclosed before the customer is committed to that service.</w:t>
      </w:r>
    </w:p>
    <w:p>
      <w:pPr>
        <w:pStyle w:val="Heading2"/>
      </w:pPr>
      <w:r>
        <w:t>10.6 Languages</w:t>
      </w:r>
    </w:p>
    <w:p>
      <w:r>
        <w:t>Basic supports up to 2 languages, Advanced up to 4 languages and Premium up to 6 languages. Language support refers to supported AI Agent interaction and configuration; quality may vary by language, terminology, document quality and the underlying AI provider.</w:t>
      </w:r>
    </w:p>
    <w:p>
      <w:pPr>
        <w:pStyle w:val="Heading2"/>
      </w:pPr>
      <w:r>
        <w:t>10.7 Human Escalation</w:t>
      </w:r>
    </w:p>
    <w:p>
      <w:r>
        <w:t>AI Agents may transfer or escalate conversations to human staff according to the configured workflow. Vouza does not guarantee that an AI Agent will identify every situation requiring human intervention. Customers remain responsible for defining appropriate human review and escalation requirements.</w:t>
      </w:r>
    </w:p>
    <w:p>
      <w:pPr>
        <w:pStyle w:val="Heading2"/>
      </w:pPr>
      <w:r>
        <w:t>10.8 AI Limitations</w:t>
      </w:r>
    </w:p>
    <w:p>
      <w:r>
        <w:t>AI-generated responses may contain errors, omissions or misunderstandings. Customers must validate information before using AI Agents for decisions involving legal, financial, medical, safety, regulatory or other high-impact matters.</w:t>
      </w:r>
    </w:p>
    <w:p>
      <w:pPr>
        <w:pStyle w:val="Heading2"/>
      </w:pPr>
      <w:r>
        <w:t>10.9 Customer Responsibilities</w:t>
      </w:r>
    </w:p>
    <w:p>
      <w:pPr>
        <w:pStyle w:val="ListBullet"/>
        <w:spacing w:after="40"/>
      </w:pPr>
      <w:r>
        <w:t>Provide accurate business information and approved knowledge sources.</w:t>
      </w:r>
    </w:p>
    <w:p>
      <w:pPr>
        <w:pStyle w:val="ListBullet"/>
        <w:spacing w:after="40"/>
      </w:pPr>
      <w:r>
        <w:t>Provide lawful rights to use documents, content, trademarks and data supplied to Vouza.</w:t>
      </w:r>
    </w:p>
    <w:p>
      <w:pPr>
        <w:pStyle w:val="ListBullet"/>
        <w:spacing w:after="40"/>
      </w:pPr>
      <w:r>
        <w:t>Review and approve Agent responses and workflows before go-live.</w:t>
      </w:r>
    </w:p>
    <w:p>
      <w:pPr>
        <w:pStyle w:val="ListBullet"/>
        <w:spacing w:after="40"/>
      </w:pPr>
      <w:r>
        <w:t>Define human escalation requirements.</w:t>
      </w:r>
    </w:p>
    <w:p>
      <w:pPr>
        <w:pStyle w:val="ListBullet"/>
        <w:spacing w:after="40"/>
      </w:pPr>
      <w:r>
        <w:t>Notify Vouza of material workflow changes.</w:t>
      </w:r>
    </w:p>
    <w:p>
      <w:pPr>
        <w:pStyle w:val="ListBullet"/>
        <w:spacing w:after="40"/>
      </w:pPr>
      <w:r>
        <w:t>Ensure that customer-provided data and instructions do not violate applicable law or third-party rights.</w:t>
      </w:r>
    </w:p>
    <w:p>
      <w:pPr>
        <w:pStyle w:val="Heading2"/>
      </w:pPr>
      <w:r>
        <w:t>10.10 Data Protection &amp; Retention</w:t>
      </w:r>
    </w:p>
    <w:p>
      <w:r>
        <w:t>Vouza will apply the data-retention period associated with the selected package, subject to technical requirements, backup policies, legal obligations and the agreed service configuration. Vouza should publish and maintain appropriate privacy and data-protection documentation and use PDPA-aligned controls where applicable.</w:t>
      </w:r>
    </w:p>
    <w:p>
      <w:pPr>
        <w:pStyle w:val="Heading2"/>
      </w:pPr>
      <w:r>
        <w:t>10.11 Third-Party Services</w:t>
      </w:r>
    </w:p>
    <w:p>
      <w:r>
        <w:t>Vouza may use third-party services such as Meta/WhatsApp, Twilio, cloud infrastructure and AI model providers. Availability, pricing, policies and technical capabilities of those services may change. Vouza may adjust the technical implementation or recommend an alternative where reasonably necessary.</w:t>
      </w:r>
    </w:p>
    <w:p>
      <w:pPr>
        <w:pStyle w:val="Heading2"/>
      </w:pPr>
      <w:r>
        <w:t>10.12 Service Changes</w:t>
      </w:r>
    </w:p>
    <w:p>
      <w:r>
        <w:t>Vouza may improve, update or replace AI models, software components and implementation methods while maintaining the agreed business functionality, subject to reasonable technical and service considerations.</w:t>
      </w:r>
    </w:p>
    <w:p>
      <w:pPr>
        <w:pStyle w:val="Heading2"/>
      </w:pPr>
      <w:r>
        <w:t>10.13 Cancellation</w:t>
      </w:r>
    </w:p>
    <w:p>
      <w:r>
        <w:t>The customer may cancel a recurring subscription at any time. Cancellation takes effect at the end of the current paid billing period; the AI Agent remains active until that period ends and no partial-period refund is issued. If a renewal payment fails, Vouza will retry the charge during a 3-day grace period before suspending the AI Agent. Cancellation does not automatically create a refund of implementation work already performed. Any refund is subject to the applicable agreement and law. If a customer cancels all AI Agents and later subscribes again, any setup fee already paid on the account remains waived and is not charged a second time.</w:t>
      </w:r>
    </w:p>
    <w:p>
      <w:pPr>
        <w:pStyle w:val="Heading2"/>
      </w:pPr>
      <w:r>
        <w:t>10.14 No Guarantee of Business Outcome</w:t>
      </w:r>
    </w:p>
    <w:p>
      <w:r>
        <w:t>Vouza provides AI technology and implementation services. Unless expressly agreed in writing, Vouza does not guarantee a specific increase in sales, reduction in labour cost, number of leads, response rate or other business outcome.</w:t>
      </w:r>
    </w:p>
    <w:p>
      <w:pPr>
        <w:pStyle w:val="Heading2"/>
      </w:pPr>
      <w:r>
        <w:t>10.15 Taxes</w:t>
      </w:r>
    </w:p>
    <w:p>
      <w:r>
        <w:t>All listed subscription and setup fees are exclusive of applicable taxes. Singapore GST and Malaysia SST (where applicable) will be calculated and added to the displayed price at checkout; the customer will see the final tax-inclusive total before confirming payment.</w:t>
      </w:r>
    </w:p>
    <w:p>
      <w:pPr>
        <w:pStyle w:val="Heading1"/>
      </w:pPr>
      <w:r>
        <w:t>11. Usage, Top-Up &amp; Overage Policy</w:t>
      </w:r>
    </w:p>
    <w:p>
      <w:r>
        <w:t>Recommended current top-up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Plan</w:t>
            </w:r>
          </w:p>
        </w:tc>
        <w:tc>
          <w:tcPr>
            <w:tcW w:type="dxa" w:w="3408"/>
            <w:vAlign w:val="center"/>
            <w:shd w:fill="1F4E78"/>
          </w:tcPr>
          <w:p>
            <w:r>
              <w:rPr>
                <w:color w:val="FFFFFF"/>
              </w:rPr>
            </w:r>
            <w:r>
              <w:rPr>
                <w:b/>
                <w:color w:val="FFFFFF"/>
                <w:sz w:val="17"/>
              </w:rPr>
              <w:t>Included</w:t>
            </w:r>
          </w:p>
        </w:tc>
        <w:tc>
          <w:tcPr>
            <w:tcW w:type="dxa" w:w="3408"/>
            <w:vAlign w:val="center"/>
            <w:shd w:fill="1F4E78"/>
          </w:tcPr>
          <w:p>
            <w:r>
              <w:rPr>
                <w:color w:val="FFFFFF"/>
              </w:rPr>
            </w:r>
            <w:r>
              <w:rPr>
                <w:b/>
                <w:color w:val="FFFFFF"/>
                <w:sz w:val="17"/>
              </w:rPr>
              <w:t>Recommended Top-Up</w:t>
            </w:r>
          </w:p>
        </w:tc>
      </w:tr>
      <w:tr>
        <w:tc>
          <w:tcPr>
            <w:tcW w:type="dxa" w:w="3408"/>
            <w:vAlign w:val="center"/>
          </w:tcPr>
          <w:p>
            <w:r/>
            <w:r>
              <w:rPr>
                <w:b w:val="0"/>
                <w:sz w:val="17"/>
              </w:rPr>
              <w:t>Basic</w:t>
            </w:r>
          </w:p>
        </w:tc>
        <w:tc>
          <w:tcPr>
            <w:tcW w:type="dxa" w:w="3408"/>
            <w:vAlign w:val="center"/>
          </w:tcPr>
          <w:p>
            <w:r/>
            <w:r>
              <w:rPr>
                <w:b w:val="0"/>
                <w:sz w:val="17"/>
              </w:rPr>
              <w:t>2,000 AI messages/month</w:t>
            </w:r>
          </w:p>
        </w:tc>
        <w:tc>
          <w:tcPr>
            <w:tcW w:type="dxa" w:w="3408"/>
            <w:vAlign w:val="center"/>
          </w:tcPr>
          <w:p>
            <w:r/>
            <w:r>
              <w:rPr>
                <w:b w:val="0"/>
                <w:sz w:val="17"/>
              </w:rPr>
              <w:t>+1,000 = RM100 / SGD40; +2,000 = RM200 / SGD80</w:t>
            </w:r>
          </w:p>
        </w:tc>
      </w:tr>
      <w:tr>
        <w:tc>
          <w:tcPr>
            <w:tcW w:type="dxa" w:w="3408"/>
            <w:vAlign w:val="center"/>
          </w:tcPr>
          <w:p>
            <w:r/>
            <w:r>
              <w:rPr>
                <w:b w:val="0"/>
                <w:sz w:val="17"/>
              </w:rPr>
              <w:t>Advanced</w:t>
            </w:r>
          </w:p>
        </w:tc>
        <w:tc>
          <w:tcPr>
            <w:tcW w:type="dxa" w:w="3408"/>
            <w:vAlign w:val="center"/>
          </w:tcPr>
          <w:p>
            <w:r/>
            <w:r>
              <w:rPr>
                <w:b w:val="0"/>
                <w:sz w:val="17"/>
              </w:rPr>
              <w:t>10,000 AI messages/month</w:t>
            </w:r>
          </w:p>
        </w:tc>
        <w:tc>
          <w:tcPr>
            <w:tcW w:type="dxa" w:w="3408"/>
            <w:vAlign w:val="center"/>
          </w:tcPr>
          <w:p>
            <w:r/>
            <w:r>
              <w:rPr>
                <w:b w:val="0"/>
                <w:sz w:val="17"/>
              </w:rPr>
              <w:t>+5,000 = RM500 / SGD170; +10,000 = RM1,000 / SGD340</w:t>
            </w:r>
          </w:p>
        </w:tc>
      </w:tr>
      <w:tr>
        <w:tc>
          <w:tcPr>
            <w:tcW w:type="dxa" w:w="3408"/>
            <w:vAlign w:val="center"/>
          </w:tcPr>
          <w:p>
            <w:r/>
            <w:r>
              <w:rPr>
                <w:b w:val="0"/>
                <w:sz w:val="17"/>
              </w:rPr>
              <w:t>Premium</w:t>
            </w:r>
          </w:p>
        </w:tc>
        <w:tc>
          <w:tcPr>
            <w:tcW w:type="dxa" w:w="3408"/>
            <w:vAlign w:val="center"/>
          </w:tcPr>
          <w:p>
            <w:r/>
            <w:r>
              <w:rPr>
                <w:b w:val="0"/>
                <w:sz w:val="17"/>
              </w:rPr>
              <w:t>10,000 AI interactions/month + premium media allowances</w:t>
            </w:r>
          </w:p>
        </w:tc>
        <w:tc>
          <w:tcPr>
            <w:tcW w:type="dxa" w:w="3408"/>
            <w:vAlign w:val="center"/>
          </w:tcPr>
          <w:p>
            <w:r/>
            <w:r>
              <w:rPr>
                <w:b w:val="0"/>
                <w:sz w:val="17"/>
              </w:rPr>
              <w:t>Custom / agreed additional usage</w:t>
            </w:r>
          </w:p>
        </w:tc>
      </w:tr>
    </w:tbl>
    <w:p>
      <w:r>
        <w:t>Top-ups are additional usage purchases and do not change the customer's underlying monthly package. Vouza may recommend an upgrade when repeated top-ups indicate that a higher package is more economical.</w:t>
      </w:r>
    </w:p>
    <w:p>
      <w:r>
        <w:t>The customer-facing package allowance should be described as a Vouza AI usage allowance. Internal systems should separately record interaction type and third-party provider cost.</w:t>
      </w:r>
    </w:p>
    <w:p>
      <w:pPr>
        <w:pStyle w:val="Heading1"/>
      </w:pPr>
      <w:r>
        <w:t>12. Privacy, Security &amp; Operational Policy</w:t>
      </w:r>
    </w:p>
    <w:p>
      <w:pPr>
        <w:pStyle w:val="ListBullet"/>
        <w:spacing w:after="40"/>
      </w:pPr>
      <w:r>
        <w:t>Use encryption and access controls appropriate to the service architecture.</w:t>
      </w:r>
    </w:p>
    <w:p>
      <w:pPr>
        <w:pStyle w:val="ListBullet"/>
        <w:spacing w:after="40"/>
      </w:pPr>
      <w:r>
        <w:t>Maintain audit logs for administrative and workflow changes where supported.</w:t>
      </w:r>
    </w:p>
    <w:p>
      <w:pPr>
        <w:pStyle w:val="ListBullet"/>
        <w:spacing w:after="40"/>
      </w:pPr>
      <w:r>
        <w:t>Restrict staff access to customer data according to role.</w:t>
      </w:r>
    </w:p>
    <w:p>
      <w:pPr>
        <w:pStyle w:val="ListBullet"/>
        <w:spacing w:after="40"/>
      </w:pPr>
      <w:r>
        <w:t>Use approved data sources only for AI Knowledge Base ingestion.</w:t>
      </w:r>
    </w:p>
    <w:p>
      <w:pPr>
        <w:pStyle w:val="ListBullet"/>
        <w:spacing w:after="40"/>
      </w:pPr>
      <w:r>
        <w:t>Provide the configured data-retention period and deletion process.</w:t>
      </w:r>
    </w:p>
    <w:p>
      <w:pPr>
        <w:pStyle w:val="ListBullet"/>
        <w:spacing w:after="40"/>
      </w:pPr>
      <w:r>
        <w:t>Do not expose API keys, provider credentials, internal server details or secret configuration in customer-facing materials.</w:t>
      </w:r>
    </w:p>
    <w:p>
      <w:pPr>
        <w:pStyle w:val="ListBullet"/>
        <w:spacing w:after="40"/>
      </w:pPr>
      <w:r>
        <w:t>Do not make an absolute “PDPA compliant” claim unless Vouza has completed the required legal and technical assessment. Use “PDPA-aligned data protection controls” where appropriate.</w:t>
      </w:r>
    </w:p>
    <w:p>
      <w:pPr>
        <w:pStyle w:val="ListBullet"/>
        <w:spacing w:after="40"/>
      </w:pPr>
      <w:r>
        <w:t>Customer-specific privacy requirements should be captured during workflow consultation.</w:t>
      </w:r>
    </w:p>
    <w:p>
      <w:r>
        <w:br w:type="page"/>
      </w:r>
    </w:p>
    <w:p>
      <w:pPr>
        <w:pStyle w:val="Heading1"/>
      </w:pPr>
      <w:r>
        <w:t>13. Internal Vouza Operating Process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color w:val="FFFFFF"/>
              </w:rPr>
            </w:r>
            <w:r>
              <w:rPr>
                <w:b/>
                <w:color w:val="FFFFFF"/>
                <w:sz w:val="17"/>
              </w:rPr>
              <w:t>Stage</w:t>
            </w:r>
          </w:p>
        </w:tc>
        <w:tc>
          <w:tcPr>
            <w:tcW w:type="dxa" w:w="3408"/>
            <w:vAlign w:val="center"/>
            <w:shd w:fill="1F4E78"/>
          </w:tcPr>
          <w:p>
            <w:r>
              <w:rPr>
                <w:color w:val="FFFFFF"/>
              </w:rPr>
            </w:r>
            <w:r>
              <w:rPr>
                <w:b/>
                <w:color w:val="FFFFFF"/>
                <w:sz w:val="17"/>
              </w:rPr>
              <w:t>Owner</w:t>
            </w:r>
          </w:p>
        </w:tc>
        <w:tc>
          <w:tcPr>
            <w:tcW w:type="dxa" w:w="3408"/>
            <w:vAlign w:val="center"/>
            <w:shd w:fill="1F4E78"/>
          </w:tcPr>
          <w:p>
            <w:r>
              <w:rPr>
                <w:color w:val="FFFFFF"/>
              </w:rPr>
            </w:r>
            <w:r>
              <w:rPr>
                <w:b/>
                <w:color w:val="FFFFFF"/>
                <w:sz w:val="17"/>
              </w:rPr>
              <w:t>Required Output</w:t>
            </w:r>
          </w:p>
        </w:tc>
      </w:tr>
      <w:tr>
        <w:tc>
          <w:tcPr>
            <w:tcW w:type="dxa" w:w="3408"/>
            <w:vAlign w:val="center"/>
          </w:tcPr>
          <w:p>
            <w:r/>
            <w:r>
              <w:rPr>
                <w:b w:val="0"/>
                <w:sz w:val="17"/>
              </w:rPr>
              <w:t>Enquiry</w:t>
            </w:r>
          </w:p>
        </w:tc>
        <w:tc>
          <w:tcPr>
            <w:tcW w:type="dxa" w:w="3408"/>
            <w:vAlign w:val="center"/>
          </w:tcPr>
          <w:p>
            <w:r/>
            <w:r>
              <w:rPr>
                <w:b w:val="0"/>
                <w:sz w:val="17"/>
              </w:rPr>
              <w:t>Customer Service</w:t>
            </w:r>
          </w:p>
        </w:tc>
        <w:tc>
          <w:tcPr>
            <w:tcW w:type="dxa" w:w="3408"/>
            <w:vAlign w:val="center"/>
          </w:tcPr>
          <w:p>
            <w:r/>
            <w:r>
              <w:rPr>
                <w:b w:val="0"/>
                <w:sz w:val="17"/>
              </w:rPr>
              <w:t>Lead / consultation record</w:t>
            </w:r>
          </w:p>
        </w:tc>
      </w:tr>
      <w:tr>
        <w:tc>
          <w:tcPr>
            <w:tcW w:type="dxa" w:w="3408"/>
            <w:vAlign w:val="center"/>
          </w:tcPr>
          <w:p>
            <w:r/>
            <w:r>
              <w:rPr>
                <w:b w:val="0"/>
                <w:sz w:val="17"/>
              </w:rPr>
              <w:t>Workflow consultation</w:t>
            </w:r>
          </w:p>
        </w:tc>
        <w:tc>
          <w:tcPr>
            <w:tcW w:type="dxa" w:w="3408"/>
            <w:vAlign w:val="center"/>
          </w:tcPr>
          <w:p>
            <w:r/>
            <w:r>
              <w:rPr>
                <w:b w:val="0"/>
                <w:sz w:val="17"/>
              </w:rPr>
              <w:t>Consultant</w:t>
            </w:r>
          </w:p>
        </w:tc>
        <w:tc>
          <w:tcPr>
            <w:tcW w:type="dxa" w:w="3408"/>
            <w:vAlign w:val="center"/>
          </w:tcPr>
          <w:p>
            <w:r/>
            <w:r>
              <w:rPr>
                <w:b w:val="0"/>
                <w:sz w:val="17"/>
              </w:rPr>
              <w:t>Workflow map + requirements</w:t>
            </w:r>
          </w:p>
        </w:tc>
      </w:tr>
      <w:tr>
        <w:tc>
          <w:tcPr>
            <w:tcW w:type="dxa" w:w="3408"/>
            <w:vAlign w:val="center"/>
          </w:tcPr>
          <w:p>
            <w:r/>
            <w:r>
              <w:rPr>
                <w:b w:val="0"/>
                <w:sz w:val="17"/>
              </w:rPr>
              <w:t>Solution design</w:t>
            </w:r>
          </w:p>
        </w:tc>
        <w:tc>
          <w:tcPr>
            <w:tcW w:type="dxa" w:w="3408"/>
            <w:vAlign w:val="center"/>
          </w:tcPr>
          <w:p>
            <w:r/>
            <w:r>
              <w:rPr>
                <w:b w:val="0"/>
                <w:sz w:val="17"/>
              </w:rPr>
              <w:t>Vouza technical team</w:t>
            </w:r>
          </w:p>
        </w:tc>
        <w:tc>
          <w:tcPr>
            <w:tcW w:type="dxa" w:w="3408"/>
            <w:vAlign w:val="center"/>
          </w:tcPr>
          <w:p>
            <w:r/>
            <w:r>
              <w:rPr>
                <w:b w:val="0"/>
                <w:sz w:val="17"/>
              </w:rPr>
              <w:t>Agent architecture + package recommendation</w:t>
            </w:r>
          </w:p>
        </w:tc>
      </w:tr>
      <w:tr>
        <w:tc>
          <w:tcPr>
            <w:tcW w:type="dxa" w:w="3408"/>
            <w:vAlign w:val="center"/>
          </w:tcPr>
          <w:p>
            <w:r/>
            <w:r>
              <w:rPr>
                <w:b w:val="0"/>
                <w:sz w:val="17"/>
              </w:rPr>
              <w:t>Proposal</w:t>
            </w:r>
          </w:p>
        </w:tc>
        <w:tc>
          <w:tcPr>
            <w:tcW w:type="dxa" w:w="3408"/>
            <w:vAlign w:val="center"/>
          </w:tcPr>
          <w:p>
            <w:r/>
            <w:r>
              <w:rPr>
                <w:b w:val="0"/>
                <w:sz w:val="17"/>
              </w:rPr>
              <w:t>Sales / Consultant</w:t>
            </w:r>
          </w:p>
        </w:tc>
        <w:tc>
          <w:tcPr>
            <w:tcW w:type="dxa" w:w="3408"/>
            <w:vAlign w:val="center"/>
          </w:tcPr>
          <w:p>
            <w:r/>
            <w:r>
              <w:rPr>
                <w:b w:val="0"/>
                <w:sz w:val="17"/>
              </w:rPr>
              <w:t>Quotation + scope</w:t>
            </w:r>
          </w:p>
        </w:tc>
      </w:tr>
      <w:tr>
        <w:tc>
          <w:tcPr>
            <w:tcW w:type="dxa" w:w="3408"/>
            <w:vAlign w:val="center"/>
          </w:tcPr>
          <w:p>
            <w:r/>
            <w:r>
              <w:rPr>
                <w:b w:val="0"/>
                <w:sz w:val="17"/>
              </w:rPr>
              <w:t>Payment</w:t>
            </w:r>
          </w:p>
        </w:tc>
        <w:tc>
          <w:tcPr>
            <w:tcW w:type="dxa" w:w="3408"/>
            <w:vAlign w:val="center"/>
          </w:tcPr>
          <w:p>
            <w:r/>
            <w:r>
              <w:rPr>
                <w:b w:val="0"/>
                <w:sz w:val="17"/>
              </w:rPr>
              <w:t>Customer / Stripe</w:t>
            </w:r>
          </w:p>
        </w:tc>
        <w:tc>
          <w:tcPr>
            <w:tcW w:type="dxa" w:w="3408"/>
            <w:vAlign w:val="center"/>
          </w:tcPr>
          <w:p>
            <w:r/>
            <w:r>
              <w:rPr>
                <w:b w:val="0"/>
                <w:sz w:val="17"/>
              </w:rPr>
              <w:t>Successful payment + subscription</w:t>
            </w:r>
          </w:p>
        </w:tc>
      </w:tr>
      <w:tr>
        <w:tc>
          <w:tcPr>
            <w:tcW w:type="dxa" w:w="3408"/>
            <w:vAlign w:val="center"/>
          </w:tcPr>
          <w:p>
            <w:r/>
            <w:r>
              <w:rPr>
                <w:b w:val="0"/>
                <w:sz w:val="17"/>
              </w:rPr>
              <w:t>Implementation kickoff</w:t>
            </w:r>
          </w:p>
        </w:tc>
        <w:tc>
          <w:tcPr>
            <w:tcW w:type="dxa" w:w="3408"/>
            <w:vAlign w:val="center"/>
          </w:tcPr>
          <w:p>
            <w:r/>
            <w:r>
              <w:rPr>
                <w:b w:val="0"/>
                <w:sz w:val="17"/>
              </w:rPr>
              <w:t>Project team</w:t>
            </w:r>
          </w:p>
        </w:tc>
        <w:tc>
          <w:tcPr>
            <w:tcW w:type="dxa" w:w="3408"/>
            <w:vAlign w:val="center"/>
          </w:tcPr>
          <w:p>
            <w:r/>
            <w:r>
              <w:rPr>
                <w:b w:val="0"/>
                <w:sz w:val="17"/>
              </w:rPr>
              <w:t>Project checklist</w:t>
            </w:r>
          </w:p>
        </w:tc>
      </w:tr>
      <w:tr>
        <w:tc>
          <w:tcPr>
            <w:tcW w:type="dxa" w:w="3408"/>
            <w:vAlign w:val="center"/>
          </w:tcPr>
          <w:p>
            <w:r/>
            <w:r>
              <w:rPr>
                <w:b w:val="0"/>
                <w:sz w:val="17"/>
              </w:rPr>
              <w:t>Knowledge Base</w:t>
            </w:r>
          </w:p>
        </w:tc>
        <w:tc>
          <w:tcPr>
            <w:tcW w:type="dxa" w:w="3408"/>
            <w:vAlign w:val="center"/>
          </w:tcPr>
          <w:p>
            <w:r/>
            <w:r>
              <w:rPr>
                <w:b w:val="0"/>
                <w:sz w:val="17"/>
              </w:rPr>
              <w:t>AI implementation team</w:t>
            </w:r>
          </w:p>
        </w:tc>
        <w:tc>
          <w:tcPr>
            <w:tcW w:type="dxa" w:w="3408"/>
            <w:vAlign w:val="center"/>
          </w:tcPr>
          <w:p>
            <w:r/>
            <w:r>
              <w:rPr>
                <w:b w:val="0"/>
                <w:sz w:val="17"/>
              </w:rPr>
              <w:t>Approved KB</w:t>
            </w:r>
          </w:p>
        </w:tc>
      </w:tr>
      <w:tr>
        <w:tc>
          <w:tcPr>
            <w:tcW w:type="dxa" w:w="3408"/>
            <w:vAlign w:val="center"/>
          </w:tcPr>
          <w:p>
            <w:r/>
            <w:r>
              <w:rPr>
                <w:b w:val="0"/>
                <w:sz w:val="17"/>
              </w:rPr>
              <w:t>Agent build</w:t>
            </w:r>
          </w:p>
        </w:tc>
        <w:tc>
          <w:tcPr>
            <w:tcW w:type="dxa" w:w="3408"/>
            <w:vAlign w:val="center"/>
          </w:tcPr>
          <w:p>
            <w:r/>
            <w:r>
              <w:rPr>
                <w:b w:val="0"/>
                <w:sz w:val="17"/>
              </w:rPr>
              <w:t>AI implementation team</w:t>
            </w:r>
          </w:p>
        </w:tc>
        <w:tc>
          <w:tcPr>
            <w:tcW w:type="dxa" w:w="3408"/>
            <w:vAlign w:val="center"/>
          </w:tcPr>
          <w:p>
            <w:r/>
            <w:r>
              <w:rPr>
                <w:b w:val="0"/>
                <w:sz w:val="17"/>
              </w:rPr>
              <w:t>Configured Agent</w:t>
            </w:r>
          </w:p>
        </w:tc>
      </w:tr>
      <w:tr>
        <w:tc>
          <w:tcPr>
            <w:tcW w:type="dxa" w:w="3408"/>
            <w:vAlign w:val="center"/>
          </w:tcPr>
          <w:p>
            <w:r/>
            <w:r>
              <w:rPr>
                <w:b w:val="0"/>
                <w:sz w:val="17"/>
              </w:rPr>
              <w:t>Testing</w:t>
            </w:r>
          </w:p>
        </w:tc>
        <w:tc>
          <w:tcPr>
            <w:tcW w:type="dxa" w:w="3408"/>
            <w:vAlign w:val="center"/>
          </w:tcPr>
          <w:p>
            <w:r/>
            <w:r>
              <w:rPr>
                <w:b w:val="0"/>
                <w:sz w:val="17"/>
              </w:rPr>
              <w:t>QA / implementation</w:t>
            </w:r>
          </w:p>
        </w:tc>
        <w:tc>
          <w:tcPr>
            <w:tcW w:type="dxa" w:w="3408"/>
            <w:vAlign w:val="center"/>
          </w:tcPr>
          <w:p>
            <w:r/>
            <w:r>
              <w:rPr>
                <w:b w:val="0"/>
                <w:sz w:val="17"/>
              </w:rPr>
              <w:t>Test results</w:t>
            </w:r>
          </w:p>
        </w:tc>
      </w:tr>
      <w:tr>
        <w:tc>
          <w:tcPr>
            <w:tcW w:type="dxa" w:w="3408"/>
            <w:vAlign w:val="center"/>
          </w:tcPr>
          <w:p>
            <w:r/>
            <w:r>
              <w:rPr>
                <w:b w:val="0"/>
                <w:sz w:val="17"/>
              </w:rPr>
              <w:t>Acceptance</w:t>
            </w:r>
          </w:p>
        </w:tc>
        <w:tc>
          <w:tcPr>
            <w:tcW w:type="dxa" w:w="3408"/>
            <w:vAlign w:val="center"/>
          </w:tcPr>
          <w:p>
            <w:r/>
            <w:r>
              <w:rPr>
                <w:b w:val="0"/>
                <w:sz w:val="17"/>
              </w:rPr>
              <w:t>Customer + Vouza</w:t>
            </w:r>
          </w:p>
        </w:tc>
        <w:tc>
          <w:tcPr>
            <w:tcW w:type="dxa" w:w="3408"/>
            <w:vAlign w:val="center"/>
          </w:tcPr>
          <w:p>
            <w:r/>
            <w:r>
              <w:rPr>
                <w:b w:val="0"/>
                <w:sz w:val="17"/>
              </w:rPr>
              <w:t>Approval</w:t>
            </w:r>
          </w:p>
        </w:tc>
      </w:tr>
      <w:tr>
        <w:tc>
          <w:tcPr>
            <w:tcW w:type="dxa" w:w="3408"/>
            <w:vAlign w:val="center"/>
          </w:tcPr>
          <w:p>
            <w:r/>
            <w:r>
              <w:rPr>
                <w:b w:val="0"/>
                <w:sz w:val="17"/>
              </w:rPr>
              <w:t>Go-live</w:t>
            </w:r>
          </w:p>
        </w:tc>
        <w:tc>
          <w:tcPr>
            <w:tcW w:type="dxa" w:w="3408"/>
            <w:vAlign w:val="center"/>
          </w:tcPr>
          <w:p>
            <w:r/>
            <w:r>
              <w:rPr>
                <w:b w:val="0"/>
                <w:sz w:val="17"/>
              </w:rPr>
              <w:t>Technical team</w:t>
            </w:r>
          </w:p>
        </w:tc>
        <w:tc>
          <w:tcPr>
            <w:tcW w:type="dxa" w:w="3408"/>
            <w:vAlign w:val="center"/>
          </w:tcPr>
          <w:p>
            <w:r/>
            <w:r>
              <w:rPr>
                <w:b w:val="0"/>
                <w:sz w:val="17"/>
              </w:rPr>
              <w:t>Production Agent</w:t>
            </w:r>
          </w:p>
        </w:tc>
      </w:tr>
      <w:tr>
        <w:tc>
          <w:tcPr>
            <w:tcW w:type="dxa" w:w="3408"/>
            <w:vAlign w:val="center"/>
          </w:tcPr>
          <w:p>
            <w:r/>
            <w:r>
              <w:rPr>
                <w:b w:val="0"/>
                <w:sz w:val="17"/>
              </w:rPr>
              <w:t>Monitoring</w:t>
            </w:r>
          </w:p>
        </w:tc>
        <w:tc>
          <w:tcPr>
            <w:tcW w:type="dxa" w:w="3408"/>
            <w:vAlign w:val="center"/>
          </w:tcPr>
          <w:p>
            <w:r/>
            <w:r>
              <w:rPr>
                <w:b w:val="0"/>
                <w:sz w:val="17"/>
              </w:rPr>
              <w:t>Operations</w:t>
            </w:r>
          </w:p>
        </w:tc>
        <w:tc>
          <w:tcPr>
            <w:tcW w:type="dxa" w:w="3408"/>
            <w:vAlign w:val="center"/>
          </w:tcPr>
          <w:p>
            <w:r/>
            <w:r>
              <w:rPr>
                <w:b w:val="0"/>
                <w:sz w:val="17"/>
              </w:rPr>
              <w:t>Usage / health / issue records</w:t>
            </w:r>
          </w:p>
        </w:tc>
      </w:tr>
      <w:tr>
        <w:tc>
          <w:tcPr>
            <w:tcW w:type="dxa" w:w="3408"/>
            <w:vAlign w:val="center"/>
          </w:tcPr>
          <w:p>
            <w:r/>
            <w:r>
              <w:rPr>
                <w:b w:val="0"/>
                <w:sz w:val="17"/>
              </w:rPr>
              <w:t>Monthly service</w:t>
            </w:r>
          </w:p>
        </w:tc>
        <w:tc>
          <w:tcPr>
            <w:tcW w:type="dxa" w:w="3408"/>
            <w:vAlign w:val="center"/>
          </w:tcPr>
          <w:p>
            <w:r/>
            <w:r>
              <w:rPr>
                <w:b w:val="0"/>
                <w:sz w:val="17"/>
              </w:rPr>
              <w:t>Customer Success</w:t>
            </w:r>
          </w:p>
        </w:tc>
        <w:tc>
          <w:tcPr>
            <w:tcW w:type="dxa" w:w="3408"/>
            <w:vAlign w:val="center"/>
          </w:tcPr>
          <w:p>
            <w:r/>
            <w:r>
              <w:rPr>
                <w:b w:val="0"/>
                <w:sz w:val="17"/>
              </w:rPr>
              <w:t>Reports + support</w:t>
            </w:r>
          </w:p>
        </w:tc>
      </w:tr>
      <w:tr>
        <w:tc>
          <w:tcPr>
            <w:tcW w:type="dxa" w:w="3408"/>
            <w:vAlign w:val="center"/>
          </w:tcPr>
          <w:p>
            <w:r/>
            <w:r>
              <w:rPr>
                <w:b w:val="0"/>
                <w:sz w:val="17"/>
              </w:rPr>
              <w:t>Expansion</w:t>
            </w:r>
          </w:p>
        </w:tc>
        <w:tc>
          <w:tcPr>
            <w:tcW w:type="dxa" w:w="3408"/>
            <w:vAlign w:val="center"/>
          </w:tcPr>
          <w:p>
            <w:r/>
            <w:r>
              <w:rPr>
                <w:b w:val="0"/>
                <w:sz w:val="17"/>
              </w:rPr>
              <w:t>Customer Success</w:t>
            </w:r>
          </w:p>
        </w:tc>
        <w:tc>
          <w:tcPr>
            <w:tcW w:type="dxa" w:w="3408"/>
            <w:vAlign w:val="center"/>
          </w:tcPr>
          <w:p>
            <w:r/>
            <w:r>
              <w:rPr>
                <w:b w:val="0"/>
                <w:sz w:val="17"/>
              </w:rPr>
              <w:t>Additional Agent / upgrade proposal</w:t>
            </w:r>
          </w:p>
        </w:tc>
      </w:tr>
    </w:tbl>
    <w:p>
      <w:pPr>
        <w:pStyle w:val="Heading1"/>
      </w:pPr>
      <w:r>
        <w:t>14. Stripe Billing Structure</w:t>
      </w:r>
    </w:p>
    <w:p>
      <w:r>
        <w:t>For Malaysia, the agreed internal modelling assumption is Stripe Billing/payment processing at 3% + RM1 per successful charge. Stripe's current Malaysia Billing page also lists 3% + RM1.00 per successful card charge or successful bank transaction.</w:t>
      </w:r>
    </w:p>
    <w:p>
      <w:r>
        <w:t>For Singapore, use the agreed SGD package prices. Actual Stripe fees should be configured according to Vouza's Stripe account, payment method and applicable Stripe Singapore pricing rather than assuming the Malaysia RM1 fee.</w:t>
      </w:r>
    </w:p>
    <w:p>
      <w:r>
        <w:t>Recommended Stripe product structure:</w:t>
      </w:r>
    </w:p>
    <w:p>
      <w:pPr>
        <w:pStyle w:val="ListBullet"/>
        <w:spacing w:after="40"/>
      </w:pPr>
      <w:r>
        <w:t>Basic AI Agent — monthly recurring price</w:t>
      </w:r>
    </w:p>
    <w:p>
      <w:pPr>
        <w:pStyle w:val="ListBullet"/>
        <w:spacing w:after="40"/>
      </w:pPr>
      <w:r>
        <w:t>Advanced AI Agent — monthly recurring price</w:t>
      </w:r>
    </w:p>
    <w:p>
      <w:pPr>
        <w:pStyle w:val="ListBullet"/>
        <w:spacing w:after="40"/>
      </w:pPr>
      <w:r>
        <w:t>Premium AI Agent — monthly recurring price</w:t>
      </w:r>
    </w:p>
    <w:p>
      <w:pPr>
        <w:pStyle w:val="ListBullet"/>
        <w:spacing w:after="40"/>
      </w:pPr>
      <w:r>
        <w:t>Basic AI Agent — annual recurring price (10% discount)</w:t>
      </w:r>
    </w:p>
    <w:p>
      <w:pPr>
        <w:pStyle w:val="ListBullet"/>
        <w:spacing w:after="40"/>
      </w:pPr>
      <w:r>
        <w:t>Advanced AI Agent — annual recurring price (10% discount)</w:t>
      </w:r>
    </w:p>
    <w:p>
      <w:pPr>
        <w:pStyle w:val="ListBullet"/>
        <w:spacing w:after="40"/>
      </w:pPr>
      <w:r>
        <w:t>Premium AI Agent — annual recurring price (10% discount)</w:t>
      </w:r>
    </w:p>
    <w:p>
      <w:pPr>
        <w:pStyle w:val="ListBullet"/>
        <w:spacing w:after="40"/>
      </w:pPr>
      <w:r>
        <w:t>Implementation &amp; Setup — one-time price, charged once per customer account regardless of plan or number of Agents</w:t>
      </w:r>
    </w:p>
    <w:p>
      <w:pPr>
        <w:pStyle w:val="ListBullet"/>
        <w:spacing w:after="40"/>
      </w:pPr>
      <w:r>
        <w:t>Additional Basic 1,000-message top-up</w:t>
      </w:r>
    </w:p>
    <w:p>
      <w:pPr>
        <w:pStyle w:val="ListBullet"/>
        <w:spacing w:after="40"/>
      </w:pPr>
      <w:r>
        <w:t>Additional Basic 2,000-message top-up</w:t>
      </w:r>
    </w:p>
    <w:p>
      <w:pPr>
        <w:pStyle w:val="ListBullet"/>
        <w:spacing w:after="40"/>
      </w:pPr>
      <w:r>
        <w:t>Additional Advanced 5,000-message top-up</w:t>
      </w:r>
    </w:p>
    <w:p>
      <w:pPr>
        <w:pStyle w:val="ListBullet"/>
        <w:spacing w:after="40"/>
      </w:pPr>
      <w:r>
        <w:t>Additional Advanced 10,000-message top-up</w:t>
      </w:r>
    </w:p>
    <w:p>
      <w:r>
        <w:t>The checkout should combine the selected one-time implementation fee with the first recurring subscription charge. The setup fee must not recur. Stripe Billing supports recurring and usage-based billing models, but Vouza should keep the customer-facing plan logic simple and transparent.</w:t>
      </w:r>
    </w:p>
    <w:p>
      <w:pPr>
        <w:pStyle w:val="Heading1"/>
      </w:pPr>
      <w:r>
        <w:t>15. Billing &amp; Subscription Controls</w:t>
      </w:r>
    </w:p>
    <w:p>
      <w:pPr>
        <w:pStyle w:val="ListBullet"/>
        <w:spacing w:after="40"/>
      </w:pPr>
      <w:r>
        <w:t>Create one customer record per company/customer account.</w:t>
      </w:r>
    </w:p>
    <w:p>
      <w:pPr>
        <w:pStyle w:val="ListBullet"/>
        <w:spacing w:after="40"/>
      </w:pPr>
      <w:r>
        <w:t>Create one subscription item per AI Agent.</w:t>
      </w:r>
    </w:p>
    <w:p>
      <w:pPr>
        <w:pStyle w:val="ListBullet"/>
        <w:spacing w:after="40"/>
      </w:pPr>
      <w:r>
        <w:t>Store Agent name, package, currency, monthly price, setup fee, usage allowance and status.</w:t>
      </w:r>
    </w:p>
    <w:p>
      <w:pPr>
        <w:pStyle w:val="ListBullet"/>
        <w:spacing w:after="40"/>
      </w:pPr>
      <w:r>
        <w:t>Use webhook handling for payment success, subscription creation, renewal, failure, cancellation and refund events.</w:t>
      </w:r>
    </w:p>
    <w:p>
      <w:pPr>
        <w:pStyle w:val="ListBullet"/>
        <w:spacing w:after="40"/>
      </w:pPr>
      <w:r>
        <w:t>Make webhook processing idempotent.</w:t>
      </w:r>
    </w:p>
    <w:p>
      <w:pPr>
        <w:pStyle w:val="ListBullet"/>
        <w:spacing w:after="40"/>
      </w:pPr>
      <w:r>
        <w:t>Never trust client-side payment status; verify payment through the server/provider.</w:t>
      </w:r>
    </w:p>
    <w:p>
      <w:pPr>
        <w:pStyle w:val="ListBullet"/>
        <w:spacing w:after="40"/>
      </w:pPr>
      <w:r>
        <w:t>Do not expose Stripe secret keys.</w:t>
      </w:r>
    </w:p>
    <w:p>
      <w:pPr>
        <w:pStyle w:val="ListBullet"/>
        <w:spacing w:after="40"/>
      </w:pPr>
      <w:r>
        <w:t>Show setup fee separately from recurring monthly subscription.</w:t>
      </w:r>
    </w:p>
    <w:p>
      <w:pPr>
        <w:pStyle w:val="ListBullet"/>
        <w:spacing w:after="40"/>
      </w:pPr>
      <w:r>
        <w:t>Show renewal amount clearly.</w:t>
      </w:r>
    </w:p>
    <w:p>
      <w:pPr>
        <w:pStyle w:val="ListBullet"/>
        <w:spacing w:after="40"/>
      </w:pPr>
      <w:r>
        <w:t>Track usage independently from Stripe billing.</w:t>
      </w:r>
    </w:p>
    <w:p>
      <w:pPr>
        <w:pStyle w:val="ListBullet"/>
        <w:spacing w:after="40"/>
      </w:pPr>
      <w:r>
        <w:t>Record third-party costs independently from customer package usage.</w:t>
      </w:r>
    </w:p>
    <w:p>
      <w:pPr>
        <w:pStyle w:val="ListBullet"/>
        <w:spacing w:after="40"/>
      </w:pPr>
      <w:r>
        <w:t>Provide an internal customer profitability view by AI Agent.</w:t>
      </w:r>
    </w:p>
    <w:p>
      <w:pPr>
        <w:pStyle w:val="Heading1"/>
      </w:pPr>
      <w:r>
        <w:t>16. Recommended Website Copy — Consultation &amp; Pricing</w:t>
      </w:r>
    </w:p>
    <w:p>
      <w:pPr>
        <w:pStyle w:val="Heading2"/>
      </w:pPr>
      <w:r>
        <w:t>Hero / primary message</w:t>
      </w:r>
    </w:p>
    <w:p>
      <w:r>
        <w:t>Build AI Agents Around the Way Your Business Works.</w:t>
      </w:r>
    </w:p>
    <w:p>
      <w:r>
        <w:t>From customer service and sales to internal operations and specialised workflows, Vouza designs and implements AI Agents around your actual business processes.</w:t>
      </w:r>
    </w:p>
    <w:p>
      <w:pPr>
        <w:pStyle w:val="Heading2"/>
      </w:pPr>
      <w:r>
        <w:t>Consultation message</w:t>
      </w:r>
    </w:p>
    <w:p>
      <w:r>
        <w:t>Not sure which AI Agent package you need?</w:t>
      </w:r>
    </w:p>
    <w:p>
      <w:r>
        <w:t>Every business workflow is different. Speak with Vouza before subscribing and our team will recommend the most suitable AI Agent package, number of Agents and implementation scope based on your requirements.</w:t>
      </w:r>
    </w:p>
    <w:p>
      <w:pPr>
        <w:pStyle w:val="Heading2"/>
      </w:pPr>
      <w:r>
        <w:t>Workflow preparation message</w:t>
      </w:r>
    </w:p>
    <w:p>
      <w:r>
        <w:t>Prepare Your Workflow Before We Meet</w:t>
      </w:r>
    </w:p>
    <w:p>
      <w:r>
        <w:t>To speed up your consultation, you may use ChatGPT, Claude or Gemini to prepare a draft of your business workflow before speaking with Vouza. Send the draft to our team together with your business information and supporting documents. Our team will review, refine and translate the workflow into an implementable AI Agent solution.</w:t>
      </w:r>
    </w:p>
    <w:p>
      <w:pPr>
        <w:pStyle w:val="Heading2"/>
      </w:pPr>
      <w:r>
        <w:t>Pricing message</w:t>
      </w:r>
    </w:p>
    <w:p>
      <w:r>
        <w:t>Pricing is per AI Agent.</w:t>
      </w:r>
    </w:p>
    <w:p>
      <w:r>
        <w:t>A single company or project can use multiple AI Agents. Each AI Agent has its own monthly subscription and one-time implementation fee.</w:t>
      </w:r>
    </w:p>
    <w:p>
      <w:pPr>
        <w:pStyle w:val="Heading2"/>
      </w:pPr>
      <w:r>
        <w:t>Setup fee message</w:t>
      </w:r>
    </w:p>
    <w:p>
      <w:r>
        <w:t>One-Time Implementation &amp; Setup Fee</w:t>
      </w:r>
    </w:p>
    <w:p>
      <w:r>
        <w:t>Covers onboarding, workflow configuration, AI Knowledge Base setup, Agent configuration, agreed routing and automation, testing and go-live support within the approved implementation scope.</w:t>
      </w:r>
    </w:p>
    <w:p>
      <w:pPr>
        <w:pStyle w:val="Heading2"/>
      </w:pPr>
      <w:r>
        <w:t>17. Recommended Customer Email / WhatsApp After Payment</w:t>
      </w:r>
    </w:p>
    <w:p>
      <w:r>
        <w:t>Thank you for subscribing to Vouza AI. Your payment has been received and your AI Agent implementation process will now begin.</w:t>
      </w:r>
    </w:p>
    <w:p>
      <w:r>
        <w:t>Our team will contact you to arrange the workflow discovery and implementation session. Please prepare your business workflow, FAQs, documents, product/service information, escalation rules and any integration requirements.</w:t>
      </w:r>
    </w:p>
    <w:p>
      <w:r>
        <w:t>If you have already prepared a workflow using ChatGPT, Claude or Gemini, please send it to our team. We will review and refine it as part of the implementation process.</w:t>
      </w:r>
    </w:p>
    <w:p>
      <w:r>
        <w:t>Our implementation team will confirm the agreed scope, configure your AI Agent, perform testing and arrange customer acceptance before go-live.</w:t>
      </w:r>
    </w:p>
    <w:p>
      <w:pPr>
        <w:pStyle w:val="Heading1"/>
      </w:pPr>
      <w:r>
        <w:t>18. Customer FAQ</w:t>
      </w:r>
    </w:p>
    <w:p>
      <w:r>
        <w:rPr>
          <w:b/>
        </w:rPr>
        <w:t>Is the subscription for my whole company?</w:t>
      </w:r>
    </w:p>
    <w:p>
      <w:r>
        <w:t>The subscription is charged per AI Agent. Your company or project can have multiple AI Agents, with each Agent subscribed separately.</w:t>
      </w:r>
    </w:p>
    <w:p>
      <w:r>
        <w:rPr>
          <w:b/>
        </w:rPr>
        <w:t>Can I have more than one AI Agent?</w:t>
      </w:r>
    </w:p>
    <w:p>
      <w:r>
        <w:t>Yes. For example, you may have separate Customer Service, Sales, HR, Finance or Operations Agents.</w:t>
      </w:r>
    </w:p>
    <w:p>
      <w:r>
        <w:rPr>
          <w:b/>
        </w:rPr>
        <w:t>Which package should I choose?</w:t>
      </w:r>
    </w:p>
    <w:p>
      <w:r>
        <w:t>Contact Vouza before subscribing. We will assess your workflow and recommend the most suitable package and number of Agents.</w:t>
      </w:r>
    </w:p>
    <w:p>
      <w:r>
        <w:rPr>
          <w:b/>
        </w:rPr>
        <w:t>Do I need to prepare a workflow?</w:t>
      </w:r>
    </w:p>
    <w:p>
      <w:r>
        <w:t>It is recommended but not mandatory. You may prepare a draft using ChatGPT, Claude or Gemini to speed up the consultation.</w:t>
      </w:r>
    </w:p>
    <w:p>
      <w:r>
        <w:rPr>
          <w:b/>
        </w:rPr>
        <w:t>Is the setup fee monthly?</w:t>
      </w:r>
    </w:p>
    <w:p>
      <w:r>
        <w:t>No. It is a one-time implementation and setup fee per AI Agent.</w:t>
      </w:r>
    </w:p>
    <w:p>
      <w:r>
        <w:rPr>
          <w:b/>
        </w:rPr>
        <w:t>Can I upgrade later?</w:t>
      </w:r>
    </w:p>
    <w:p>
      <w:r>
        <w:t>Yes, subject to the applicable package and implementation requirements.</w:t>
      </w:r>
    </w:p>
    <w:p>
      <w:r>
        <w:rPr>
          <w:b/>
        </w:rPr>
        <w:t>Can I add another Agent later?</w:t>
      </w:r>
    </w:p>
    <w:p>
      <w:r>
        <w:t>Yes. Additional Agents can be subscribed separately.</w:t>
      </w:r>
    </w:p>
    <w:p>
      <w:r>
        <w:rPr>
          <w:b/>
        </w:rPr>
        <w:t>Does Premium include voice and video?</w:t>
      </w:r>
    </w:p>
    <w:p>
      <w:r>
        <w:t>Premium includes the specified WhatsApp Voice and Twilio-powered Video Calling capabilities within the agreed usage allowance and technical scope.</w:t>
      </w:r>
    </w:p>
    <w:p>
      <w:r>
        <w:rPr>
          <w:b/>
        </w:rPr>
        <w:t>Are third-party fees included?</w:t>
      </w:r>
    </w:p>
    <w:p>
      <w:r>
        <w:t>Only where expressly stated in the proposal/package. Applicable Meta, Twilio, AI model or other third-party charges may apply depending on the selected services and usage.</w:t>
      </w:r>
    </w:p>
    <w:p>
      <w:r>
        <w:rPr>
          <w:b/>
        </w:rPr>
        <w:t>Can the AI always answer customers?</w:t>
      </w:r>
    </w:p>
    <w:p>
      <w:r>
        <w:t>The AI Agent is designed to operate within its configured workflow and knowledge. Human escalation can be configured for cases requiring staff intervention.</w:t>
      </w:r>
    </w:p>
    <w:p>
      <w:pPr>
        <w:pStyle w:val="Heading1"/>
      </w:pPr>
      <w:r>
        <w:t>19. End-to-End Vouza AI Agent Process Map</w:t>
      </w:r>
    </w:p>
    <w:p>
      <w:pPr>
        <w:jc w:val="center"/>
      </w:pPr>
      <w:r>
        <w:t>1. Customer discovers Vouza</w:t>
      </w:r>
    </w:p>
    <w:p>
      <w:pPr>
        <w:jc w:val="center"/>
      </w:pPr>
      <w:r>
        <w:t>↓</w:t>
      </w:r>
    </w:p>
    <w:p>
      <w:pPr>
        <w:jc w:val="center"/>
      </w:pPr>
      <w:r>
        <w:t>2. Customer books AI Workflow Consultation</w:t>
      </w:r>
    </w:p>
    <w:p>
      <w:pPr>
        <w:jc w:val="center"/>
      </w:pPr>
      <w:r>
        <w:t>↓</w:t>
      </w:r>
    </w:p>
    <w:p>
      <w:pPr>
        <w:jc w:val="center"/>
      </w:pPr>
      <w:r>
        <w:t>3. Customer provides business information and optional ChatGPT / Claude / Gemini workflow draft</w:t>
      </w:r>
    </w:p>
    <w:p>
      <w:pPr>
        <w:jc w:val="center"/>
      </w:pPr>
      <w:r>
        <w:t>↓</w:t>
      </w:r>
    </w:p>
    <w:p>
      <w:pPr>
        <w:jc w:val="center"/>
      </w:pPr>
      <w:r>
        <w:t>4. Vouza reviews and validates the workflow</w:t>
      </w:r>
    </w:p>
    <w:p>
      <w:pPr>
        <w:jc w:val="center"/>
      </w:pPr>
      <w:r>
        <w:t>↓</w:t>
      </w:r>
    </w:p>
    <w:p>
      <w:pPr>
        <w:jc w:val="center"/>
      </w:pPr>
      <w:r>
        <w:t>5. Vouza determines number of AI Agents</w:t>
      </w:r>
    </w:p>
    <w:p>
      <w:pPr>
        <w:jc w:val="center"/>
      </w:pPr>
      <w:r>
        <w:t>↓</w:t>
      </w:r>
    </w:p>
    <w:p>
      <w:pPr>
        <w:jc w:val="center"/>
      </w:pPr>
      <w:r>
        <w:t>6. Vouza recommends Basic / Advanced / Premium per Agent</w:t>
      </w:r>
    </w:p>
    <w:p>
      <w:pPr>
        <w:jc w:val="center"/>
      </w:pPr>
      <w:r>
        <w:t>↓</w:t>
      </w:r>
    </w:p>
    <w:p>
      <w:pPr>
        <w:jc w:val="center"/>
      </w:pPr>
      <w:r>
        <w:t>7. Vouza confirms languages, usage, integrations and implementation scope</w:t>
      </w:r>
    </w:p>
    <w:p>
      <w:pPr>
        <w:jc w:val="center"/>
      </w:pPr>
      <w:r>
        <w:t>↓</w:t>
      </w:r>
    </w:p>
    <w:p>
      <w:pPr>
        <w:jc w:val="center"/>
      </w:pPr>
      <w:r>
        <w:t>8. Proposal / quotation issued</w:t>
      </w:r>
    </w:p>
    <w:p>
      <w:pPr>
        <w:jc w:val="center"/>
      </w:pPr>
      <w:r>
        <w:t>↓</w:t>
      </w:r>
    </w:p>
    <w:p>
      <w:pPr>
        <w:jc w:val="center"/>
      </w:pPr>
      <w:r>
        <w:t>9. Customer accepts Agreement &amp; Policy</w:t>
      </w:r>
    </w:p>
    <w:p>
      <w:pPr>
        <w:jc w:val="center"/>
      </w:pPr>
      <w:r>
        <w:t>↓</w:t>
      </w:r>
    </w:p>
    <w:p>
      <w:pPr>
        <w:jc w:val="center"/>
      </w:pPr>
      <w:r>
        <w:t>10. Customer pays one-time Setup + first month subscription for each Agent</w:t>
      </w:r>
    </w:p>
    <w:p>
      <w:pPr>
        <w:jc w:val="center"/>
      </w:pPr>
      <w:r>
        <w:t>↓</w:t>
      </w:r>
    </w:p>
    <w:p>
      <w:pPr>
        <w:jc w:val="center"/>
      </w:pPr>
      <w:r>
        <w:t>11. Vouza creates project + Agent records</w:t>
      </w:r>
    </w:p>
    <w:p>
      <w:pPr>
        <w:jc w:val="center"/>
      </w:pPr>
      <w:r>
        <w:t>↓</w:t>
      </w:r>
    </w:p>
    <w:p>
      <w:pPr>
        <w:jc w:val="center"/>
      </w:pPr>
      <w:r>
        <w:t>12. Customer completes Meta Embedded Signup and connects their WhatsApp number</w:t>
      </w:r>
    </w:p>
    <w:p>
      <w:pPr>
        <w:jc w:val="center"/>
      </w:pPr>
      <w:r>
        <w:t>↓</w:t>
      </w:r>
    </w:p>
    <w:p>
      <w:pPr>
        <w:jc w:val="center"/>
      </w:pPr>
      <w:r>
        <w:t>13. Workflow discovery &amp; knowledge collection</w:t>
      </w:r>
    </w:p>
    <w:p>
      <w:pPr>
        <w:jc w:val="center"/>
      </w:pPr>
      <w:r>
        <w:t>↓</w:t>
      </w:r>
    </w:p>
    <w:p>
      <w:pPr>
        <w:jc w:val="center"/>
      </w:pPr>
      <w:r>
        <w:t>14. AI Agent configuration &amp; integration</w:t>
      </w:r>
    </w:p>
    <w:p>
      <w:pPr>
        <w:jc w:val="center"/>
      </w:pPr>
      <w:r>
        <w:t>↓</w:t>
      </w:r>
    </w:p>
    <w:p>
      <w:pPr>
        <w:jc w:val="center"/>
      </w:pPr>
      <w:r>
        <w:t>15. Internal QA</w:t>
      </w:r>
    </w:p>
    <w:p>
      <w:pPr>
        <w:jc w:val="center"/>
      </w:pPr>
      <w:r>
        <w:t>↓</w:t>
      </w:r>
    </w:p>
    <w:p>
      <w:pPr>
        <w:jc w:val="center"/>
      </w:pPr>
      <w:r>
        <w:t>16. Customer acceptance testing</w:t>
      </w:r>
    </w:p>
    <w:p>
      <w:pPr>
        <w:jc w:val="center"/>
      </w:pPr>
      <w:r>
        <w:t>↓</w:t>
      </w:r>
    </w:p>
    <w:p>
      <w:pPr>
        <w:jc w:val="center"/>
      </w:pPr>
      <w:r>
        <w:t>17. Corrections within agreed scope</w:t>
      </w:r>
    </w:p>
    <w:p>
      <w:pPr>
        <w:jc w:val="center"/>
      </w:pPr>
      <w:r>
        <w:t>↓</w:t>
      </w:r>
    </w:p>
    <w:p>
      <w:pPr>
        <w:jc w:val="center"/>
      </w:pPr>
      <w:r>
        <w:t>18. Go-live</w:t>
      </w:r>
    </w:p>
    <w:p>
      <w:pPr>
        <w:jc w:val="center"/>
      </w:pPr>
      <w:r>
        <w:t>↓</w:t>
      </w:r>
    </w:p>
    <w:p>
      <w:pPr>
        <w:jc w:val="center"/>
      </w:pPr>
      <w:r>
        <w:t>19. Monitoring, reporting and support</w:t>
      </w:r>
    </w:p>
    <w:p>
      <w:pPr>
        <w:jc w:val="center"/>
      </w:pPr>
      <w:r>
        <w:t>↓</w:t>
      </w:r>
    </w:p>
    <w:p>
      <w:pPr>
        <w:jc w:val="center"/>
      </w:pPr>
      <w:r>
        <w:t>20. Monthly subscription renewal</w:t>
      </w:r>
    </w:p>
    <w:p>
      <w:pPr>
        <w:jc w:val="center"/>
      </w:pPr>
      <w:r>
        <w:t>↓</w:t>
      </w:r>
    </w:p>
    <w:p>
      <w:pPr>
        <w:jc w:val="center"/>
      </w:pPr>
      <w:r>
        <w:t>21. Add additional AI Agents / upgrade as customer grows</w:t>
      </w:r>
    </w:p>
    <w:p>
      <w:pPr>
        <w:pStyle w:val="Heading1"/>
      </w:pPr>
      <w:r>
        <w:t>20. Implementation Notes for Vouza Team</w:t>
      </w:r>
    </w:p>
    <w:p>
      <w:pPr>
        <w:pStyle w:val="ListBullet"/>
        <w:spacing w:after="40"/>
      </w:pPr>
      <w:r>
        <w:t>Keep customer-facing pricing simple; keep detailed third-party cost accounting internal.</w:t>
      </w:r>
    </w:p>
    <w:p>
      <w:pPr>
        <w:pStyle w:val="ListBullet"/>
        <w:spacing w:after="40"/>
      </w:pPr>
      <w:r>
        <w:t>Do not hard-code Meta, Twilio or AI provider pricing into the customer package logic.</w:t>
      </w:r>
    </w:p>
    <w:p>
      <w:pPr>
        <w:pStyle w:val="ListBullet"/>
        <w:spacing w:after="40"/>
      </w:pPr>
      <w:r>
        <w:t>Keep provider cost meters separate from Vouza AI usage allowance.</w:t>
      </w:r>
    </w:p>
    <w:p>
      <w:pPr>
        <w:pStyle w:val="ListBullet"/>
        <w:spacing w:after="40"/>
      </w:pPr>
      <w:r>
        <w:t>Use configurable model routing so simple enquiries can use lower-cost models and complex enquiries can use stronger models.</w:t>
      </w:r>
    </w:p>
    <w:p>
      <w:pPr>
        <w:pStyle w:val="ListBullet"/>
        <w:spacing w:after="40"/>
      </w:pPr>
      <w:r>
        <w:t>Use RAG, conversation summarisation and context controls to manage token consumption.</w:t>
      </w:r>
    </w:p>
    <w:p>
      <w:pPr>
        <w:pStyle w:val="ListBullet"/>
        <w:spacing w:after="40"/>
      </w:pPr>
      <w:r>
        <w:t>Keep Premium video wording as “Twilio-powered Video Calling” unless native WhatsApp video capability is specifically verified for the actual implementation.</w:t>
      </w:r>
    </w:p>
    <w:p>
      <w:pPr>
        <w:pStyle w:val="ListBullet"/>
        <w:spacing w:after="40"/>
      </w:pPr>
      <w:r>
        <w:t>Use “PDPA-aligned data protection controls” rather than an absolute legal compliance claim unless Vouza has completed the appropriate assessment.</w:t>
      </w:r>
    </w:p>
    <w:p>
      <w:pPr>
        <w:pStyle w:val="ListBullet"/>
        <w:spacing w:after="40"/>
      </w:pPr>
      <w:r>
        <w:t>Do not publicly expose server specifications, API keys, internal infrastructure details or provider secrets.</w:t>
      </w:r>
    </w:p>
    <w:p>
      <w:pPr>
        <w:pStyle w:val="ListBullet"/>
        <w:spacing w:after="40"/>
      </w:pPr>
      <w:r>
        <w:t>Before every major implementation change, propose the change and obtain approval where it materially changes customer-facing behaviour.</w:t>
      </w:r>
    </w:p>
    <w:p>
      <w:pPr>
        <w:pStyle w:val="ListBullet"/>
        <w:spacing w:after="40"/>
      </w:pPr>
      <w:r>
        <w:t>Perform a functional audit after each completed AI development task.</w:t>
      </w:r>
    </w:p>
    <w:p>
      <w:pPr>
        <w:pStyle w:val="Heading1"/>
      </w:pPr>
      <w:r>
        <w:t>21. Legal &amp; Commercial Review Note</w:t>
      </w:r>
    </w:p>
    <w:p>
      <w:r>
        <w:t>This document is a commercial and operational working draft, not legal advice. Before publishing the Customer Agreement, refund terms, privacy terms, data-processing provisions or any regulatory statements, Vouza should have the final wording reviewed by an appropriately qualified Singapore/Malaysia legal professional where applicable.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