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spacing w:before="0" w:beforeAutospacing="0" w:after="0" w:afterAutospacing="0" w:line="480" w:lineRule="auto"/>
        <w:ind w:left="0" w:right="0"/>
        <w:jc w:val="left"/>
        <w:rPr>
          <w:rFonts w:hint="eastAsia" w:ascii="宋体" w:hAnsi="宋体" w:eastAsia="宋体" w:cs="宋体"/>
          <w:color w:val="000000"/>
          <w:sz w:val="18"/>
          <w:szCs w:val="18"/>
          <w:lang w:val="en-US"/>
        </w:rPr>
      </w:pPr>
      <w:r>
        <w:rPr>
          <w:rFonts w:hint="eastAsia" w:ascii="宋体" w:hAnsi="宋体" w:eastAsia="宋体" w:cs="宋体"/>
          <w:color w:val="000000"/>
          <w:kern w:val="0"/>
          <w:sz w:val="18"/>
          <w:szCs w:val="18"/>
          <w:lang w:val="en-US" w:eastAsia="zh-CN" w:bidi="ar"/>
        </w:rPr>
        <w:t>各区（市）县政府，市政府各部门：</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《成都市城乡居民养老保险试行办法》已经2009年12月25日市政府第56次常务会议审议通过，现印发你们，请遵照执行。</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xml:space="preserve">　　　　　　　　　　　                   </w:t>
      </w:r>
      <w:bookmarkStart w:id="0" w:name="_GoBack"/>
      <w:bookmarkEnd w:id="0"/>
      <w:r>
        <w:rPr>
          <w:rFonts w:hint="eastAsia" w:ascii="宋体" w:hAnsi="宋体" w:eastAsia="宋体" w:cs="宋体"/>
          <w:color w:val="000000"/>
          <w:kern w:val="0"/>
          <w:sz w:val="18"/>
          <w:szCs w:val="18"/>
          <w:lang w:val="en-US" w:eastAsia="zh-CN" w:bidi="ar"/>
        </w:rPr>
        <w:t xml:space="preserve">                  二○○九年十二月二十九日</w:t>
      </w:r>
      <w:r>
        <w:rPr>
          <w:rFonts w:hint="eastAsia" w:ascii="宋体" w:hAnsi="宋体" w:eastAsia="宋体" w:cs="宋体"/>
          <w:color w:val="000000"/>
          <w:kern w:val="0"/>
          <w:sz w:val="18"/>
          <w:szCs w:val="18"/>
          <w:lang w:val="en-US" w:eastAsia="zh-CN" w:bidi="ar"/>
        </w:rPr>
        <w:br w:type="textWrapping"/>
      </w:r>
    </w:p>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b/>
          <w:bCs w:val="0"/>
          <w:color w:val="000000"/>
          <w:sz w:val="24"/>
          <w:szCs w:val="24"/>
          <w:lang w:val="en-US"/>
        </w:rPr>
      </w:pPr>
      <w:r>
        <w:rPr>
          <w:rFonts w:hint="eastAsia" w:ascii="宋体" w:hAnsi="宋体" w:eastAsia="宋体" w:cs="宋体"/>
          <w:b/>
          <w:bCs w:val="0"/>
          <w:color w:val="000000"/>
          <w:kern w:val="0"/>
          <w:sz w:val="24"/>
          <w:szCs w:val="24"/>
          <w:lang w:val="en-US" w:eastAsia="zh-CN" w:bidi="ar"/>
        </w:rPr>
        <w:t>成都市城乡居民养老保险试行办法</w:t>
      </w:r>
    </w:p>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sz w:val="18"/>
          <w:szCs w:val="18"/>
          <w:lang w:val="en-US"/>
        </w:rPr>
      </w:pPr>
    </w:p>
    <w:p>
      <w:pPr>
        <w:keepNext w:val="0"/>
        <w:keepLines w:val="0"/>
        <w:widowControl/>
        <w:suppressLineNumbers w:val="0"/>
        <w:spacing w:before="0" w:beforeAutospacing="0" w:after="0" w:afterAutospacing="0" w:line="480" w:lineRule="auto"/>
        <w:ind w:left="0" w:right="0" w:firstLine="384" w:firstLineChars="200"/>
        <w:jc w:val="left"/>
        <w:rPr>
          <w:rFonts w:hint="eastAsia" w:ascii="宋体" w:hAnsi="宋体" w:eastAsia="宋体" w:cs="宋体"/>
          <w:color w:val="000000"/>
          <w:sz w:val="18"/>
          <w:szCs w:val="18"/>
          <w:lang w:val="en-US"/>
        </w:rPr>
      </w:pPr>
      <w:r>
        <w:rPr>
          <w:rStyle w:val="4"/>
          <w:rFonts w:hint="eastAsia" w:ascii="宋体" w:hAnsi="宋体" w:eastAsia="宋体" w:cs="宋体"/>
          <w:color w:val="000000"/>
          <w:kern w:val="0"/>
          <w:sz w:val="18"/>
          <w:szCs w:val="18"/>
          <w:lang w:val="en-US" w:eastAsia="zh-CN" w:bidi="ar"/>
        </w:rPr>
        <w:t>第一条 （目的依据）</w:t>
      </w:r>
    </w:p>
    <w:p>
      <w:pPr>
        <w:keepNext w:val="0"/>
        <w:keepLines w:val="0"/>
        <w:widowControl/>
        <w:suppressLineNumbers w:val="0"/>
        <w:spacing w:before="0" w:beforeAutospacing="0" w:after="0" w:afterAutospacing="0" w:line="480" w:lineRule="auto"/>
        <w:ind w:left="0" w:right="0" w:firstLine="384" w:firstLineChars="200"/>
        <w:jc w:val="left"/>
        <w:rPr>
          <w:rFonts w:hint="eastAsia" w:ascii="宋体" w:hAnsi="宋体" w:eastAsia="宋体" w:cs="宋体"/>
          <w:color w:val="000000"/>
          <w:sz w:val="18"/>
          <w:szCs w:val="18"/>
          <w:lang w:val="en-US"/>
        </w:rPr>
      </w:pPr>
      <w:r>
        <w:rPr>
          <w:rFonts w:hint="eastAsia" w:ascii="宋体" w:hAnsi="宋体" w:eastAsia="宋体" w:cs="宋体"/>
          <w:color w:val="000000"/>
          <w:kern w:val="0"/>
          <w:sz w:val="18"/>
          <w:szCs w:val="18"/>
          <w:lang w:val="en-US" w:eastAsia="zh-CN" w:bidi="ar"/>
        </w:rPr>
        <w:t>为建立健全覆盖我市城乡居民的社会养老保险制度，根据国务院和省政府的有关规定，结合我市实际，制定本办法。</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w:t>
      </w:r>
      <w:r>
        <w:rPr>
          <w:rStyle w:val="4"/>
          <w:rFonts w:hint="eastAsia" w:ascii="宋体" w:hAnsi="宋体" w:eastAsia="宋体" w:cs="宋体"/>
          <w:color w:val="000000"/>
          <w:kern w:val="0"/>
          <w:sz w:val="18"/>
          <w:szCs w:val="18"/>
          <w:lang w:val="en-US" w:eastAsia="zh-CN" w:bidi="ar"/>
        </w:rPr>
        <w:t>　第二条 （适用范围）</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户籍关系在本市行政区域内年满16周岁及以上年龄的农村居民，以及城镇职工基本养老保险制度覆盖范围以外的城镇居民，可按本办法规定参加城乡居民养老保险。</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w:t>
      </w:r>
      <w:r>
        <w:rPr>
          <w:rStyle w:val="4"/>
          <w:rFonts w:hint="eastAsia" w:ascii="宋体" w:hAnsi="宋体" w:eastAsia="宋体" w:cs="宋体"/>
          <w:color w:val="000000"/>
          <w:kern w:val="0"/>
          <w:sz w:val="18"/>
          <w:szCs w:val="18"/>
          <w:lang w:val="en-US" w:eastAsia="zh-CN" w:bidi="ar"/>
        </w:rPr>
        <w:t>第三条 （基本原则和制度模式）</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城乡居民养老保险坚持“保基本、全覆盖、有弹性、可持续”的基本原则，权利与义务对应、保障水平与经济社会发展水平相适应，实行社会统筹与个人账户相结合。</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w:t>
      </w:r>
      <w:r>
        <w:rPr>
          <w:rStyle w:val="4"/>
          <w:rFonts w:hint="eastAsia" w:ascii="宋体" w:hAnsi="宋体" w:eastAsia="宋体" w:cs="宋体"/>
          <w:color w:val="000000"/>
          <w:kern w:val="0"/>
          <w:sz w:val="18"/>
          <w:szCs w:val="18"/>
          <w:lang w:val="en-US" w:eastAsia="zh-CN" w:bidi="ar"/>
        </w:rPr>
        <w:t>第四条 （管理主体）</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市劳动保障局负责全市城乡居民养老保险管理，区（市）县劳动和社会保障行政部门负责本辖区内城乡居民养老保险管理。市和区（市）县社会保险经办机构负责城乡居民养老保险业务经办。</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市和区（市）县财政部门负责政府补贴资金筹集、管理和监督，农业、民政、公安、税务等部门以及街道办事处、乡（镇）政府按照各自职责配合做好相关工作。</w:t>
      </w:r>
      <w:r>
        <w:rPr>
          <w:rFonts w:hint="eastAsia" w:ascii="宋体" w:hAnsi="宋体" w:eastAsia="宋体" w:cs="宋体"/>
          <w:color w:val="000000"/>
          <w:kern w:val="0"/>
          <w:sz w:val="18"/>
          <w:szCs w:val="18"/>
          <w:lang w:val="en-US" w:eastAsia="zh-CN" w:bidi="ar"/>
        </w:rPr>
        <w:br w:type="textWrapping"/>
      </w:r>
      <w:r>
        <w:rPr>
          <w:rStyle w:val="4"/>
          <w:rFonts w:hint="eastAsia" w:ascii="宋体" w:hAnsi="宋体" w:eastAsia="宋体" w:cs="宋体"/>
          <w:color w:val="000000"/>
          <w:kern w:val="0"/>
          <w:sz w:val="18"/>
          <w:szCs w:val="18"/>
          <w:lang w:val="en-US" w:eastAsia="zh-CN" w:bidi="ar"/>
        </w:rPr>
        <w:t>　　第五条 （养老保险费缴纳）</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农村居民按以下办法缴纳养老保险费：</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一）年满60周岁及以上年龄参保人，在区（市）县政府按以下5个缴费档次确定的具体档次中选择一档作为缴费基数，按12%费率一次性缴纳15年养老保险费。5个缴费档次分别为：缴费时上一年度全省在岗职工平均工资的10%、20%、30%、40%、50%。具体缴费金额由市劳动保障局、市财政局每年初定期公布。</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（二）国务院确定的新型农村社会养老保险试点地区年满60周岁及以上年龄的农村居民，其子女参保缴费后，本人可不缴费，享受省政府规定标准的新型农村社会养老保险基础养老金。</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三）年满16周岁、不满60周岁的参保人，在区（市）县政府按以下5个缴费档次确定的具体档次中选择一档作为缴费基数，按10%费率按年或按月缴纳养老保险费。5个缴费档次分别为：缴费时上一年度全省在岗职工平均工资的10%、20%、30%、40%、50%。每年具体缴费金额由市劳动保障局、市财政局年初定期公布。</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城镇职工基本养老保险制度覆盖范围以外的城镇居民按以下办法缴纳养老保险费：</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（一）年满60周岁及以上年龄的参保人，按缴费时上一年度全省在岗职工平均工资的40%或50%为基数，按12%费率一次性缴纳15年养老保险费。具体缴费金额由市劳动保障局、市财政局每年初定期公布。</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（二）年满16周岁、不满60周岁的参保人，按缴费时上一年度全省在岗职工平均工资的40%或50%为缴费基数，按12%费率按年或按月缴纳养老保险费。每年具体缴费金额由市劳动保障局、市财政局年初定期公布。</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年满16周岁、不满60周岁的农村居民参保人履行了耕地保护责任的，可用耕地保护金代缴养老保险费。</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年满16周岁、不满60周岁的城乡居民参保人缴费期间因特殊情况不能按时缴纳养老保险费时，经批准可暂停缴费；恢复缴费后，对暂停缴纳部分可以补缴，也可选择降低档次缴费。</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w:t>
      </w:r>
      <w:r>
        <w:rPr>
          <w:rStyle w:val="4"/>
          <w:rFonts w:hint="eastAsia" w:ascii="宋体" w:hAnsi="宋体" w:eastAsia="宋体" w:cs="宋体"/>
          <w:color w:val="000000"/>
          <w:kern w:val="0"/>
          <w:sz w:val="18"/>
          <w:szCs w:val="18"/>
          <w:lang w:val="en-US" w:eastAsia="zh-CN" w:bidi="ar"/>
        </w:rPr>
        <w:t>第六条 （政府补贴）</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（一）年满60周岁及以上年龄的城乡居民，本人缴纳养老保险费以后，在按本办法第八条第（一）项规定计发养老金的同时，享受省政府对新型农村社会养老保险规定标准的基础养老金补贴。</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（二）年满16周岁、不满60周岁的农村居民，本人按本办法第五条第一款第（三）项规定缴纳养老保险费以后，区（市）县政府按本人缴费基数2%给予养老保险缴费补贴。</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三）国务院确定的新型农村社会养老保险试点地区年满16周岁、不满60周岁的农村居民，本人按本办法第五条第一款第（三）项规定缴纳养老保险费以后，享受省政府规定标准的新型农村社会养老保险缴费补贴，该缴费补贴低于本人缴费基数2%的部分，区（市）县政府给予补足。</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（四）国务院确定的新型农村社会养老保险试点地区农村重度残疾人，区（市）县政府为其代缴部分或全部最低标准的养老保险费。具体标准及分担比例由区（市）县政府确定。</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w:t>
      </w:r>
      <w:r>
        <w:rPr>
          <w:rStyle w:val="4"/>
          <w:rFonts w:hint="eastAsia" w:ascii="宋体" w:hAnsi="宋体" w:eastAsia="宋体" w:cs="宋体"/>
          <w:color w:val="000000"/>
          <w:kern w:val="0"/>
          <w:sz w:val="18"/>
          <w:szCs w:val="18"/>
          <w:lang w:val="en-US" w:eastAsia="zh-CN" w:bidi="ar"/>
        </w:rPr>
        <w:t>第七条 （个人账户）</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（一）社会保险经办机构按参保人缴费基数8%为其建立城乡居民养老保险个人账户，个人账户储存额按省政府规定的计息标准计算利息。</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（二）国务院确定的新型农村社会养老保险试点地区年满16周岁、不满60周岁的农村居民享受省政府规定标准的新型农村社会养老保险缴费补贴，划入本人个人账户。</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w:t>
      </w:r>
      <w:r>
        <w:rPr>
          <w:rStyle w:val="4"/>
          <w:rFonts w:hint="eastAsia" w:ascii="宋体" w:hAnsi="宋体" w:eastAsia="宋体" w:cs="宋体"/>
          <w:color w:val="000000"/>
          <w:kern w:val="0"/>
          <w:sz w:val="18"/>
          <w:szCs w:val="18"/>
          <w:lang w:val="en-US" w:eastAsia="zh-CN" w:bidi="ar"/>
        </w:rPr>
        <w:t>　第八条 （养老金待遇）</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（一）参保人养老金由基础养老金和个人账户养老金组成（计算办法见附件），同时发给省政府对新型农村社会养老保险规定标准的基础养老金补贴。</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二）参保人年满60周岁、累计缴费年限满15年，具备领取养老金条件。参保人距年满60周岁不足15年的，应按年或按月缴费，也允许补缴，累计缴费不超过15年。参保人距年满60周岁超过15年的，应按年或按月缴费，累计缴费不少于15年。</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（三）市政府根据经济发展和物价变动等情况，适时调整养老金水平。</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四）参保人领取养老金期间死亡，社会保险经办机构将其个人缴纳的养老保险费扣除已领取养老金后的余额，一次性支付给其指定受益人或法定继承人，并按死亡当月养老金标准向其直系亲属一次性支付4个月的养老金作为丧葬补贴。</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（五）参保人缴费期间死亡，社会保险经办机构将其个人缴纳的养老保险费，一次性支付给其指定受益人或法定继承人。</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（六）已按《成都市农民养老保险办法》（市政府令第152号）领取养老金的农村居民，原养老金标准不变。</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w:t>
      </w:r>
      <w:r>
        <w:rPr>
          <w:rStyle w:val="4"/>
          <w:rFonts w:hint="eastAsia" w:ascii="宋体" w:hAnsi="宋体" w:eastAsia="宋体" w:cs="宋体"/>
          <w:color w:val="000000"/>
          <w:kern w:val="0"/>
          <w:sz w:val="18"/>
          <w:szCs w:val="18"/>
          <w:lang w:val="en-US" w:eastAsia="zh-CN" w:bidi="ar"/>
        </w:rPr>
        <w:t>第九条 （养老保险关系转移）</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（一）城乡居民养老保险转移到城镇职工基本养老保险，个人账户和统筹基金全额转移，缴费工资基数、缴费年限分别换算为城镇职工基本养老保险缴费基数和缴费年限。</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（二）城镇职工基本养老保险转移到城乡居民养老保险，个人账户、统筹基金全额转移，缴费工资基数和缴费年限分别转换为城乡居民养老保险缴费基数和缴费年限。</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三）农村居民因土地被依法征用并参加城镇职工基本养老保险后，未享受城乡居民养老保险待遇的，社会保险经办机构将其个人缴纳的城乡居民养老保险费（含个人账户资金）全额划转到城镇职工基本养老保险；已享受城乡居民养老保险待遇的，社会保险经办机构将其个人缴纳的城乡居民养老保险费扣除已领取养老金后的余额，一次性支付给本人。</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xml:space="preserve">　　（四）参保人养老保险关系转移到本市行政区域外的，按省有关规定执行。 </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w:t>
      </w:r>
      <w:r>
        <w:rPr>
          <w:rStyle w:val="4"/>
          <w:rFonts w:hint="eastAsia" w:ascii="宋体" w:hAnsi="宋体" w:eastAsia="宋体" w:cs="宋体"/>
          <w:color w:val="000000"/>
          <w:kern w:val="0"/>
          <w:sz w:val="18"/>
          <w:szCs w:val="18"/>
          <w:lang w:val="en-US" w:eastAsia="zh-CN" w:bidi="ar"/>
        </w:rPr>
        <w:t>第十条 （基金管理和监督）</w:t>
      </w:r>
    </w:p>
    <w:p>
      <w:pPr>
        <w:keepNext w:val="0"/>
        <w:keepLines w:val="0"/>
        <w:widowControl/>
        <w:suppressLineNumbers w:val="0"/>
        <w:spacing w:before="0" w:beforeAutospacing="0" w:after="0" w:afterAutospacing="0" w:line="480" w:lineRule="auto"/>
        <w:ind w:left="0" w:right="0" w:firstLine="384" w:firstLineChars="200"/>
        <w:jc w:val="left"/>
        <w:rPr>
          <w:rFonts w:hint="eastAsia" w:ascii="宋体" w:hAnsi="宋体" w:eastAsia="宋体" w:cs="宋体"/>
          <w:color w:val="000000"/>
          <w:sz w:val="18"/>
          <w:szCs w:val="18"/>
          <w:lang w:val="en-US"/>
        </w:rPr>
      </w:pPr>
      <w:r>
        <w:rPr>
          <w:rFonts w:hint="eastAsia" w:ascii="宋体" w:hAnsi="宋体" w:eastAsia="宋体" w:cs="宋体"/>
          <w:color w:val="000000"/>
          <w:kern w:val="0"/>
          <w:sz w:val="18"/>
          <w:szCs w:val="18"/>
          <w:lang w:val="en-US" w:eastAsia="zh-CN" w:bidi="ar"/>
        </w:rPr>
        <w:t xml:space="preserve">建立健全城乡居民养老保险基金财务会计制度。城乡居民养老保险基金纳入社会保障基金财政专户，实行收支两条线管理，按城镇居民和农村居民分账核算，并按有关规定实现保值增值。城乡居民养老保险基金实行区（市）县级管理，今后逐步提高管理层次。 </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市和区（市）县劳动保障部门要切实履行城乡居民养老保险基金的监管职责，制定完善城乡居民养老保险各项业务管理规章制度，规范业务程序，建立健全内控制度和基金稽核制度，对基金的筹集、上解、预算、划拨、发放进行实时监控和定期检查。财政、监察、审计部门按各自职责对城乡居民养老保险基金实施监督，严禁挤占挪用，确保基金安全。</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w:t>
      </w:r>
      <w:r>
        <w:rPr>
          <w:rStyle w:val="4"/>
          <w:rFonts w:hint="eastAsia" w:ascii="宋体" w:hAnsi="宋体" w:eastAsia="宋体" w:cs="宋体"/>
          <w:color w:val="000000"/>
          <w:kern w:val="0"/>
          <w:sz w:val="18"/>
          <w:szCs w:val="18"/>
          <w:lang w:val="en-US" w:eastAsia="zh-CN" w:bidi="ar"/>
        </w:rPr>
        <w:t>第十一条 （解释机关）</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本办法具体应用中的问题，由市劳动保障局、市财政局负责解释，并可制定实施细则。</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w:t>
      </w:r>
      <w:r>
        <w:rPr>
          <w:rStyle w:val="4"/>
          <w:rFonts w:hint="eastAsia" w:ascii="宋体" w:hAnsi="宋体" w:eastAsia="宋体" w:cs="宋体"/>
          <w:color w:val="000000"/>
          <w:kern w:val="0"/>
          <w:sz w:val="18"/>
          <w:szCs w:val="18"/>
          <w:lang w:val="en-US" w:eastAsia="zh-CN" w:bidi="ar"/>
        </w:rPr>
        <w:t>　第十二条 （施行日期）</w:t>
      </w:r>
      <w:r>
        <w:rPr>
          <w:rFonts w:hint="eastAsia" w:ascii="宋体" w:hAnsi="宋体" w:eastAsia="宋体" w:cs="宋体"/>
          <w:color w:val="000000"/>
          <w:kern w:val="0"/>
          <w:sz w:val="18"/>
          <w:szCs w:val="18"/>
          <w:lang w:val="en-US" w:eastAsia="zh-CN" w:bidi="ar"/>
        </w:rPr>
        <w:br w:type="textWrapping"/>
      </w:r>
      <w:r>
        <w:rPr>
          <w:rFonts w:hint="eastAsia" w:ascii="宋体" w:hAnsi="宋体" w:eastAsia="宋体" w:cs="宋体"/>
          <w:color w:val="000000"/>
          <w:kern w:val="0"/>
          <w:sz w:val="18"/>
          <w:szCs w:val="18"/>
          <w:lang w:val="en-US" w:eastAsia="zh-CN" w:bidi="ar"/>
        </w:rPr>
        <w:t>　　本办法自2010年4月1日起施行。本市过去有关规定与本办法不一致的，以本办法为准。</w:t>
      </w:r>
    </w:p>
    <w:p>
      <w:pPr>
        <w:keepNext w:val="0"/>
        <w:keepLines w:val="0"/>
        <w:widowControl/>
        <w:suppressLineNumbers w:val="0"/>
        <w:spacing w:before="0" w:beforeAutospacing="0" w:after="0" w:afterAutospacing="0" w:line="480" w:lineRule="auto"/>
        <w:ind w:left="0" w:right="0"/>
        <w:jc w:val="left"/>
        <w:rPr>
          <w:rFonts w:ascii="宋体" w:hAnsi="宋体" w:eastAsia="宋体" w:cs="宋体"/>
          <w:color w:val="000000"/>
        </w:rPr>
      </w:pPr>
      <w:r>
        <w:rPr>
          <w:rFonts w:ascii="宋体" w:hAnsi="宋体" w:eastAsia="宋体" w:cs="宋体"/>
          <w:color w:val="000000"/>
          <w:kern w:val="0"/>
          <w:sz w:val="24"/>
          <w:szCs w:val="24"/>
          <w:lang w:val="en-US" w:eastAsia="zh-CN" w:bidi="ar"/>
        </w:rPr>
        <w:t> </w:t>
      </w:r>
    </w:p>
    <w:p>
      <w:pPr>
        <w:keepNext w:val="0"/>
        <w:keepLines w:val="0"/>
        <w:widowControl/>
        <w:suppressLineNumbers w:val="0"/>
        <w:spacing w:before="0" w:beforeAutospacing="0" w:after="0" w:afterAutospacing="0" w:line="480" w:lineRule="auto"/>
        <w:ind w:left="0" w:right="0"/>
        <w:jc w:val="left"/>
        <w:rPr>
          <w:rFonts w:hint="eastAsia" w:ascii="宋体" w:hAnsi="宋体" w:eastAsia="宋体" w:cs="宋体"/>
          <w:color w:val="000000"/>
          <w:sz w:val="18"/>
          <w:szCs w:val="18"/>
          <w:lang w:val="en-US"/>
        </w:rPr>
      </w:pPr>
      <w:r>
        <w:rPr>
          <w:rFonts w:hint="eastAsia" w:ascii="宋体" w:hAnsi="宋体" w:eastAsia="宋体" w:cs="宋体"/>
          <w:color w:val="000000"/>
          <w:kern w:val="0"/>
          <w:sz w:val="18"/>
          <w:szCs w:val="18"/>
          <w:lang w:val="en-US" w:eastAsia="zh-CN" w:bidi="ar"/>
        </w:rPr>
        <w:t>附件：</w:t>
      </w:r>
    </w:p>
    <w:p>
      <w:pPr>
        <w:pStyle w:val="2"/>
        <w:keepNext w:val="0"/>
        <w:keepLines w:val="0"/>
        <w:widowControl/>
        <w:suppressLineNumbers w:val="0"/>
        <w:spacing w:before="0" w:beforeAutospacing="0" w:after="0" w:afterAutospacing="0" w:line="480" w:lineRule="auto"/>
        <w:ind w:left="0" w:right="0"/>
        <w:jc w:val="center"/>
        <w:rPr>
          <w:rFonts w:cs="Times New Roman"/>
          <w:b/>
          <w:bCs w:val="0"/>
          <w:sz w:val="20"/>
          <w:szCs w:val="20"/>
          <w:lang w:val="en-US"/>
        </w:rPr>
      </w:pPr>
      <w:r>
        <w:rPr>
          <w:rFonts w:cs="Times New Roman"/>
          <w:b/>
          <w:bCs w:val="0"/>
          <w:sz w:val="20"/>
          <w:szCs w:val="20"/>
        </w:rPr>
        <w:t>城乡居民养老金计发办法</w:t>
      </w:r>
    </w:p>
    <w:p>
      <w:pPr>
        <w:pStyle w:val="2"/>
        <w:keepNext w:val="0"/>
        <w:keepLines w:val="0"/>
        <w:widowControl/>
        <w:suppressLineNumbers w:val="0"/>
        <w:spacing w:before="0" w:beforeAutospacing="0" w:after="0" w:afterAutospacing="0" w:line="480" w:lineRule="auto"/>
        <w:ind w:left="0" w:right="0"/>
        <w:jc w:val="center"/>
        <w:rPr>
          <w:rFonts w:cs="Times New Roman"/>
          <w:lang w:val="en-US"/>
        </w:rPr>
      </w:pPr>
    </w:p>
    <w:tbl>
      <w:tblPr>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4762"/>
        <w:gridCol w:w="3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793" w:hRule="atLeast"/>
          <w:jc w:val="center"/>
        </w:trPr>
        <w:tc>
          <w:tcPr>
            <w:tcW w:w="476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基础养老金</w:t>
            </w:r>
          </w:p>
        </w:tc>
        <w:tc>
          <w:tcPr>
            <w:tcW w:w="375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账户养老金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8" w:hRule="atLeast"/>
          <w:jc w:val="center"/>
        </w:trPr>
        <w:tc>
          <w:tcPr>
            <w:tcW w:w="476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本人指数化月平均缴费×</w:t>
            </w:r>
          </w:p>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b/>
                <w:bCs w:val="0"/>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累计缴费年限数×1%</w:t>
            </w:r>
          </w:p>
        </w:tc>
        <w:tc>
          <w:tcPr>
            <w:tcW w:w="375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本人账户累计储存额</w:t>
            </w:r>
          </w:p>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b/>
                <w:bCs w:val="0"/>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（含利息）÷计发月数</w:t>
            </w:r>
          </w:p>
        </w:tc>
      </w:tr>
    </w:tbl>
    <w:p>
      <w:pPr>
        <w:keepNext w:val="0"/>
        <w:keepLines w:val="0"/>
        <w:widowControl/>
        <w:suppressLineNumbers w:val="0"/>
        <w:spacing w:before="0" w:beforeAutospacing="0" w:after="0" w:afterAutospacing="0" w:line="480" w:lineRule="auto"/>
        <w:ind w:left="0" w:right="0"/>
        <w:jc w:val="left"/>
        <w:rPr>
          <w:rFonts w:hint="eastAsia" w:ascii="宋体" w:hAnsi="宋体" w:eastAsia="宋体" w:cs="宋体"/>
          <w:color w:val="000000"/>
          <w:kern w:val="0"/>
          <w:sz w:val="18"/>
          <w:szCs w:val="18"/>
          <w:lang w:val="en-US"/>
        </w:rPr>
      </w:pPr>
    </w:p>
    <w:p>
      <w:pPr>
        <w:pStyle w:val="2"/>
        <w:keepNext w:val="0"/>
        <w:keepLines w:val="0"/>
        <w:widowControl/>
        <w:suppressLineNumbers w:val="0"/>
        <w:spacing w:before="0" w:beforeAutospacing="0" w:after="0" w:afterAutospacing="0" w:line="480" w:lineRule="auto"/>
        <w:ind w:left="0" w:right="0"/>
        <w:jc w:val="center"/>
        <w:rPr>
          <w:rFonts w:cs="Times New Roman"/>
          <w:b/>
          <w:bCs w:val="0"/>
          <w:sz w:val="20"/>
          <w:szCs w:val="20"/>
          <w:lang w:val="en-US"/>
        </w:rPr>
      </w:pPr>
      <w:r>
        <w:rPr>
          <w:rFonts w:cs="Times New Roman"/>
          <w:b/>
          <w:bCs w:val="0"/>
          <w:sz w:val="20"/>
          <w:szCs w:val="20"/>
        </w:rPr>
        <w:t>个人账户养老金计发月数表</w:t>
      </w:r>
    </w:p>
    <w:p>
      <w:pPr>
        <w:pStyle w:val="2"/>
        <w:keepNext w:val="0"/>
        <w:keepLines w:val="0"/>
        <w:widowControl/>
        <w:suppressLineNumbers w:val="0"/>
        <w:spacing w:before="0" w:beforeAutospacing="0" w:after="0" w:afterAutospacing="0" w:line="480" w:lineRule="auto"/>
        <w:ind w:left="0" w:right="0"/>
        <w:jc w:val="center"/>
        <w:rPr>
          <w:rFonts w:cs="Times New Roman"/>
          <w:lang w:val="en-US"/>
        </w:rPr>
      </w:pPr>
    </w:p>
    <w:tbl>
      <w:tblPr>
        <w:tblW w:w="8519" w:type="dxa"/>
        <w:jc w:val="center"/>
        <w:tblInd w:w="2" w:type="dxa"/>
        <w:shd w:val="clear"/>
        <w:tblLayout w:type="fixed"/>
        <w:tblCellMar>
          <w:top w:w="0" w:type="dxa"/>
          <w:left w:w="108" w:type="dxa"/>
          <w:bottom w:w="0" w:type="dxa"/>
          <w:right w:w="108" w:type="dxa"/>
        </w:tblCellMar>
      </w:tblPr>
      <w:tblGrid>
        <w:gridCol w:w="1820"/>
        <w:gridCol w:w="1029"/>
        <w:gridCol w:w="1712"/>
        <w:gridCol w:w="973"/>
        <w:gridCol w:w="2041"/>
        <w:gridCol w:w="944"/>
      </w:tblGrid>
      <w:tr>
        <w:tblPrEx>
          <w:tblLayout w:type="fixed"/>
          <w:tblCellMar>
            <w:top w:w="0" w:type="dxa"/>
            <w:left w:w="108" w:type="dxa"/>
            <w:bottom w:w="0" w:type="dxa"/>
            <w:right w:w="108" w:type="dxa"/>
          </w:tblCellMar>
        </w:tblPrEx>
        <w:trPr>
          <w:trHeight w:val="855" w:hRule="atLeast"/>
          <w:jc w:val="center"/>
        </w:trPr>
        <w:tc>
          <w:tcPr>
            <w:tcW w:w="182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领取养老金年龄（周岁）</w:t>
            </w:r>
          </w:p>
        </w:tc>
        <w:tc>
          <w:tcPr>
            <w:tcW w:w="1029" w:type="dxa"/>
            <w:tcBorders>
              <w:top w:val="single" w:color="auto" w:sz="4" w:space="0"/>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计发月数</w:t>
            </w:r>
          </w:p>
        </w:tc>
        <w:tc>
          <w:tcPr>
            <w:tcW w:w="1712" w:type="dxa"/>
            <w:tcBorders>
              <w:top w:val="single" w:color="auto" w:sz="4" w:space="0"/>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领取养老金年龄（周岁）</w:t>
            </w:r>
          </w:p>
        </w:tc>
        <w:tc>
          <w:tcPr>
            <w:tcW w:w="973" w:type="dxa"/>
            <w:tcBorders>
              <w:top w:val="single" w:color="auto" w:sz="4" w:space="0"/>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计发月数</w:t>
            </w:r>
          </w:p>
        </w:tc>
        <w:tc>
          <w:tcPr>
            <w:tcW w:w="2041" w:type="dxa"/>
            <w:tcBorders>
              <w:top w:val="single" w:color="auto" w:sz="4" w:space="0"/>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领取养老金年龄（周岁）</w:t>
            </w:r>
          </w:p>
        </w:tc>
        <w:tc>
          <w:tcPr>
            <w:tcW w:w="944" w:type="dxa"/>
            <w:tcBorders>
              <w:top w:val="single" w:color="auto" w:sz="4" w:space="0"/>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计发月数</w:t>
            </w:r>
          </w:p>
        </w:tc>
      </w:tr>
      <w:tr>
        <w:tblPrEx>
          <w:tblLayout w:type="fixed"/>
          <w:tblCellMar>
            <w:top w:w="0" w:type="dxa"/>
            <w:left w:w="108" w:type="dxa"/>
            <w:bottom w:w="0" w:type="dxa"/>
            <w:right w:w="108" w:type="dxa"/>
          </w:tblCellMar>
        </w:tblPrEx>
        <w:trPr>
          <w:trHeight w:val="601" w:hRule="atLeast"/>
          <w:jc w:val="center"/>
        </w:trPr>
        <w:tc>
          <w:tcPr>
            <w:tcW w:w="1820" w:type="dxa"/>
            <w:tcBorders>
              <w:top w:val="nil"/>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60</w:t>
            </w:r>
          </w:p>
        </w:tc>
        <w:tc>
          <w:tcPr>
            <w:tcW w:w="1029"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139</w:t>
            </w:r>
          </w:p>
        </w:tc>
        <w:tc>
          <w:tcPr>
            <w:tcW w:w="1712"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64</w:t>
            </w:r>
          </w:p>
        </w:tc>
        <w:tc>
          <w:tcPr>
            <w:tcW w:w="973"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109</w:t>
            </w:r>
          </w:p>
        </w:tc>
        <w:tc>
          <w:tcPr>
            <w:tcW w:w="2041"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68</w:t>
            </w:r>
          </w:p>
        </w:tc>
        <w:tc>
          <w:tcPr>
            <w:tcW w:w="944"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75</w:t>
            </w:r>
          </w:p>
        </w:tc>
      </w:tr>
      <w:tr>
        <w:tblPrEx>
          <w:tblLayout w:type="fixed"/>
          <w:tblCellMar>
            <w:top w:w="0" w:type="dxa"/>
            <w:left w:w="108" w:type="dxa"/>
            <w:bottom w:w="0" w:type="dxa"/>
            <w:right w:w="108" w:type="dxa"/>
          </w:tblCellMar>
        </w:tblPrEx>
        <w:trPr>
          <w:trHeight w:val="561" w:hRule="atLeast"/>
          <w:jc w:val="center"/>
        </w:trPr>
        <w:tc>
          <w:tcPr>
            <w:tcW w:w="1820" w:type="dxa"/>
            <w:tcBorders>
              <w:top w:val="nil"/>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61</w:t>
            </w:r>
          </w:p>
        </w:tc>
        <w:tc>
          <w:tcPr>
            <w:tcW w:w="1029"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132</w:t>
            </w:r>
          </w:p>
        </w:tc>
        <w:tc>
          <w:tcPr>
            <w:tcW w:w="1712"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65</w:t>
            </w:r>
          </w:p>
        </w:tc>
        <w:tc>
          <w:tcPr>
            <w:tcW w:w="973"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101</w:t>
            </w:r>
          </w:p>
        </w:tc>
        <w:tc>
          <w:tcPr>
            <w:tcW w:w="2041"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69</w:t>
            </w:r>
          </w:p>
        </w:tc>
        <w:tc>
          <w:tcPr>
            <w:tcW w:w="944"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65</w:t>
            </w:r>
          </w:p>
        </w:tc>
      </w:tr>
      <w:tr>
        <w:tblPrEx>
          <w:tblLayout w:type="fixed"/>
          <w:tblCellMar>
            <w:top w:w="0" w:type="dxa"/>
            <w:left w:w="108" w:type="dxa"/>
            <w:bottom w:w="0" w:type="dxa"/>
            <w:right w:w="108" w:type="dxa"/>
          </w:tblCellMar>
        </w:tblPrEx>
        <w:trPr>
          <w:trHeight w:val="577" w:hRule="atLeast"/>
          <w:jc w:val="center"/>
        </w:trPr>
        <w:tc>
          <w:tcPr>
            <w:tcW w:w="1820" w:type="dxa"/>
            <w:tcBorders>
              <w:top w:val="nil"/>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62</w:t>
            </w:r>
          </w:p>
        </w:tc>
        <w:tc>
          <w:tcPr>
            <w:tcW w:w="1029"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125</w:t>
            </w:r>
          </w:p>
        </w:tc>
        <w:tc>
          <w:tcPr>
            <w:tcW w:w="1712"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66</w:t>
            </w:r>
          </w:p>
        </w:tc>
        <w:tc>
          <w:tcPr>
            <w:tcW w:w="973"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93</w:t>
            </w:r>
          </w:p>
        </w:tc>
        <w:tc>
          <w:tcPr>
            <w:tcW w:w="2041"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70及以上</w:t>
            </w:r>
          </w:p>
        </w:tc>
        <w:tc>
          <w:tcPr>
            <w:tcW w:w="944"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56</w:t>
            </w:r>
          </w:p>
        </w:tc>
      </w:tr>
      <w:tr>
        <w:tblPrEx>
          <w:tblLayout w:type="fixed"/>
          <w:tblCellMar>
            <w:top w:w="0" w:type="dxa"/>
            <w:left w:w="108" w:type="dxa"/>
            <w:bottom w:w="0" w:type="dxa"/>
            <w:right w:w="108" w:type="dxa"/>
          </w:tblCellMar>
        </w:tblPrEx>
        <w:trPr>
          <w:trHeight w:val="565" w:hRule="atLeast"/>
          <w:jc w:val="center"/>
        </w:trPr>
        <w:tc>
          <w:tcPr>
            <w:tcW w:w="1820" w:type="dxa"/>
            <w:tcBorders>
              <w:top w:val="nil"/>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63</w:t>
            </w:r>
          </w:p>
        </w:tc>
        <w:tc>
          <w:tcPr>
            <w:tcW w:w="1029"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117</w:t>
            </w:r>
          </w:p>
        </w:tc>
        <w:tc>
          <w:tcPr>
            <w:tcW w:w="1712"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67</w:t>
            </w:r>
          </w:p>
        </w:tc>
        <w:tc>
          <w:tcPr>
            <w:tcW w:w="973"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r>
              <w:rPr>
                <w:rFonts w:hint="eastAsia" w:ascii="宋体" w:hAnsi="宋体" w:eastAsia="宋体" w:cs="宋体"/>
                <w:color w:val="000000"/>
                <w:kern w:val="0"/>
                <w:sz w:val="18"/>
                <w:szCs w:val="18"/>
                <w:bdr w:val="none" w:color="auto" w:sz="0" w:space="0"/>
                <w:lang w:val="en-US" w:eastAsia="zh-CN" w:bidi="ar"/>
              </w:rPr>
              <w:t>84</w:t>
            </w:r>
          </w:p>
        </w:tc>
        <w:tc>
          <w:tcPr>
            <w:tcW w:w="2041"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p>
        </w:tc>
        <w:tc>
          <w:tcPr>
            <w:tcW w:w="944" w:type="dxa"/>
            <w:tcBorders>
              <w:top w:val="nil"/>
              <w:left w:val="nil"/>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80" w:lineRule="auto"/>
              <w:ind w:left="0" w:right="0"/>
              <w:jc w:val="center"/>
              <w:rPr>
                <w:rFonts w:hint="eastAsia" w:ascii="宋体" w:hAnsi="宋体" w:eastAsia="宋体" w:cs="宋体"/>
                <w:color w:val="000000"/>
                <w:kern w:val="0"/>
                <w:sz w:val="18"/>
                <w:szCs w:val="18"/>
                <w:bdr w:val="none" w:color="auto" w:sz="0" w:space="0"/>
                <w:lang w:val="en-US"/>
              </w:rPr>
            </w:pPr>
          </w:p>
        </w:tc>
      </w:tr>
    </w:tbl>
    <w:p>
      <w:pPr>
        <w:keepNext w:val="0"/>
        <w:keepLines w:val="0"/>
        <w:widowControl/>
        <w:suppressLineNumbers w:val="0"/>
        <w:spacing w:before="0" w:beforeAutospacing="0" w:after="0" w:afterAutospacing="0" w:line="480" w:lineRule="auto"/>
        <w:ind w:left="0" w:right="0"/>
        <w:jc w:val="left"/>
        <w:rPr>
          <w:rFonts w:hint="eastAsia" w:ascii="宋体" w:hAnsi="宋体" w:eastAsia="宋体" w:cs="宋体"/>
          <w:color w:val="000000"/>
          <w:kern w:val="0"/>
          <w:sz w:val="18"/>
          <w:szCs w:val="18"/>
          <w:lang w:val="en-US"/>
        </w:rPr>
      </w:pPr>
      <w:r>
        <w:rPr>
          <w:rFonts w:hint="eastAsia" w:ascii="宋体" w:hAnsi="宋体" w:eastAsia="宋体" w:cs="宋体"/>
          <w:color w:val="000000"/>
          <w:kern w:val="0"/>
          <w:sz w:val="18"/>
          <w:szCs w:val="18"/>
          <w:lang w:val="en-US" w:eastAsia="zh-CN" w:bidi="ar"/>
        </w:rPr>
        <w:t xml:space="preserve">   注：此表系国务院国发〔2005〕38号、国发〔2009〕32号和市政府令第133号的规定，根据职工退休时城镇人口平均预期寿命、本人退休年龄、利息等因素确定。</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6E22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0" w:after="0" w:afterAutospacing="0" w:line="315" w:lineRule="atLeast"/>
      <w:ind w:left="0" w:right="0"/>
      <w:jc w:val="left"/>
    </w:pPr>
    <w:rPr>
      <w:rFonts w:ascii="宋体" w:hAnsi="宋体" w:eastAsia="宋体" w:cs="宋体"/>
      <w:color w:val="000000"/>
      <w:kern w:val="0"/>
      <w:sz w:val="18"/>
      <w:szCs w:val="18"/>
      <w:lang w:val="en-US" w:eastAsia="zh-CN" w:bidi="ar"/>
    </w:rPr>
  </w:style>
  <w:style w:type="character" w:styleId="4">
    <w:name w:val="Strong"/>
    <w:basedOn w:val="3"/>
    <w:qFormat/>
    <w:uiPriority w:val="0"/>
    <w:rPr>
      <w:b/>
    </w:rPr>
  </w:style>
  <w:style w:type="character" w:styleId="5">
    <w:name w:val="FollowedHyperlink"/>
    <w:basedOn w:val="3"/>
    <w:uiPriority w:val="0"/>
    <w:rPr>
      <w:color w:val="414141"/>
      <w:u w:val="none"/>
    </w:rPr>
  </w:style>
  <w:style w:type="character" w:styleId="6">
    <w:name w:val="Hyperlink"/>
    <w:basedOn w:val="3"/>
    <w:uiPriority w:val="0"/>
    <w:rPr>
      <w:color w:val="414141"/>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2016-06-14T00:25:47Z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