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eastAsia="zh-CN"/>
        </w:rPr>
        <w:t>社保政策梳理</w:t>
      </w:r>
    </w:p>
    <w:p>
      <w:pPr>
        <w:rPr>
          <w:rFonts w:hint="eastAsia"/>
          <w:lang w:val="en-US" w:eastAsia="zh-CN"/>
        </w:rPr>
      </w:pPr>
    </w:p>
    <w:p>
      <w:pPr>
        <w:rPr>
          <w:rFonts w:hint="eastAsia"/>
          <w:lang w:val="en-US" w:eastAsia="zh-CN"/>
        </w:rPr>
      </w:pPr>
      <w:r>
        <w:rPr>
          <w:rFonts w:hint="eastAsia"/>
          <w:lang w:val="en-US" w:eastAsia="zh-CN"/>
        </w:rPr>
        <w:t>如果排除社保与教育、居住证、入户捆绑的问题，江苏和浙江的社保政策可以归纳如下：</w:t>
      </w:r>
    </w:p>
    <w:p>
      <w:pPr>
        <w:rPr>
          <w:rFonts w:hint="eastAsia"/>
          <w:lang w:val="en-US" w:eastAsia="zh-CN"/>
        </w:rPr>
      </w:pPr>
    </w:p>
    <w:p>
      <w:pPr>
        <w:numPr>
          <w:ilvl w:val="0"/>
          <w:numId w:val="1"/>
        </w:numPr>
        <w:rPr>
          <w:rFonts w:hint="eastAsia"/>
          <w:lang w:val="en-US" w:eastAsia="zh-CN"/>
        </w:rPr>
      </w:pPr>
      <w:r>
        <w:rPr>
          <w:rFonts w:hint="eastAsia"/>
          <w:b/>
          <w:bCs/>
          <w:lang w:val="en-US" w:eastAsia="zh-CN"/>
        </w:rPr>
        <w:t>城镇居民社保</w:t>
      </w:r>
      <w:r>
        <w:rPr>
          <w:rFonts w:hint="eastAsia"/>
          <w:lang w:val="en-US" w:eastAsia="zh-CN"/>
        </w:rPr>
        <w:t>：</w:t>
      </w:r>
    </w:p>
    <w:p>
      <w:pPr>
        <w:widowControl w:val="0"/>
        <w:numPr>
          <w:numId w:val="0"/>
        </w:numPr>
        <w:jc w:val="both"/>
        <w:rPr>
          <w:rFonts w:hint="eastAsia"/>
          <w:lang w:val="en-US" w:eastAsia="zh-CN"/>
        </w:rPr>
      </w:pPr>
      <w:r>
        <w:rPr>
          <w:rFonts w:hint="eastAsia"/>
          <w:lang w:val="en-US" w:eastAsia="zh-CN"/>
        </w:rPr>
        <w:t>非本地户籍无法办理。</w:t>
      </w:r>
    </w:p>
    <w:p>
      <w:pPr>
        <w:widowControl w:val="0"/>
        <w:numPr>
          <w:numId w:val="0"/>
        </w:numPr>
        <w:jc w:val="both"/>
        <w:rPr>
          <w:rFonts w:hint="eastAsia"/>
          <w:lang w:val="en-US" w:eastAsia="zh-CN"/>
        </w:rPr>
      </w:pPr>
    </w:p>
    <w:p>
      <w:pPr>
        <w:widowControl w:val="0"/>
        <w:numPr>
          <w:ilvl w:val="0"/>
          <w:numId w:val="1"/>
        </w:numPr>
        <w:jc w:val="both"/>
        <w:rPr>
          <w:rFonts w:hint="eastAsia"/>
          <w:b/>
          <w:bCs/>
          <w:lang w:val="en-US" w:eastAsia="zh-CN"/>
        </w:rPr>
      </w:pPr>
      <w:r>
        <w:rPr>
          <w:rFonts w:hint="eastAsia"/>
          <w:b/>
          <w:bCs/>
          <w:lang w:val="en-US" w:eastAsia="zh-CN"/>
        </w:rPr>
        <w:t>灵活就业人员社保：</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非本地户籍无法办理，唯一的例外是</w:t>
      </w:r>
      <w:bookmarkStart w:id="0" w:name="_GoBack"/>
      <w:bookmarkEnd w:id="0"/>
      <w:r>
        <w:rPr>
          <w:rFonts w:hint="eastAsia"/>
          <w:lang w:val="en-US" w:eastAsia="zh-CN"/>
        </w:rPr>
        <w:t>无锡：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《无锡市区灵活就业（延长缴费）人员缴费核定办理须知》</w:t>
      </w:r>
    </w:p>
    <w:p>
      <w:pPr>
        <w:widowControl w:val="0"/>
        <w:numPr>
          <w:numId w:val="0"/>
        </w:numPr>
        <w:jc w:val="both"/>
        <w:rPr>
          <w:rFonts w:hint="eastAsia"/>
          <w:lang w:val="en-US" w:eastAsia="zh-CN"/>
        </w:rPr>
      </w:pPr>
      <w:r>
        <w:rPr>
          <w:rFonts w:hint="eastAsia"/>
          <w:lang w:val="en-US" w:eastAsia="zh-CN"/>
        </w:rPr>
        <w:t>“具有本市城镇户口，年满16周岁，且男未满60周岁、女未满55周岁，采取非正规形式灵活就业，有合法经济收入的人员；</w:t>
      </w:r>
      <w:r>
        <w:rPr>
          <w:rFonts w:hint="eastAsia"/>
          <w:b/>
          <w:bCs/>
          <w:color w:val="FF0000"/>
          <w:lang w:val="en-US" w:eastAsia="zh-CN"/>
        </w:rPr>
        <w:t>符合上述条件且有固定住所的外地城镇、农村户口的各类人员</w:t>
      </w:r>
      <w:r>
        <w:rPr>
          <w:rFonts w:hint="eastAsia"/>
          <w:lang w:val="en-US" w:eastAsia="zh-CN"/>
        </w:rPr>
        <w:t>。包括在我市办理工商登记并领取个体执照的无雇工的个体工商户业主，可作为灵活就业人员办理社会保险参保手续。”</w:t>
      </w:r>
    </w:p>
    <w:p>
      <w:pPr>
        <w:widowControl w:val="0"/>
        <w:numPr>
          <w:numId w:val="0"/>
        </w:numPr>
        <w:jc w:val="both"/>
        <w:rPr>
          <w:rFonts w:hint="eastAsia"/>
          <w:lang w:val="en-US" w:eastAsia="zh-CN"/>
        </w:rPr>
      </w:pPr>
    </w:p>
    <w:p>
      <w:pPr>
        <w:widowControl w:val="0"/>
        <w:numPr>
          <w:ilvl w:val="0"/>
          <w:numId w:val="1"/>
        </w:numPr>
        <w:jc w:val="both"/>
        <w:rPr>
          <w:rFonts w:hint="eastAsia"/>
          <w:b/>
          <w:bCs/>
          <w:lang w:val="en-US" w:eastAsia="zh-CN"/>
        </w:rPr>
      </w:pPr>
      <w:r>
        <w:rPr>
          <w:rFonts w:hint="eastAsia"/>
          <w:b/>
          <w:bCs/>
          <w:lang w:val="en-US" w:eastAsia="zh-CN"/>
        </w:rPr>
        <w:t>个体工商户（约等于企业）：</w:t>
      </w:r>
    </w:p>
    <w:p>
      <w:pPr>
        <w:widowControl w:val="0"/>
        <w:numPr>
          <w:numId w:val="0"/>
        </w:numPr>
        <w:jc w:val="both"/>
        <w:rPr>
          <w:rFonts w:hint="eastAsia"/>
          <w:lang w:val="en-US" w:eastAsia="zh-CN"/>
        </w:rPr>
      </w:pPr>
      <w:r>
        <w:rPr>
          <w:rFonts w:hint="eastAsia"/>
          <w:lang w:val="en-US" w:eastAsia="zh-CN"/>
        </w:rPr>
        <w:t>不限户籍，均可购买社保。</w:t>
      </w:r>
    </w:p>
    <w:p>
      <w:pPr>
        <w:widowControl w:val="0"/>
        <w:numPr>
          <w:numId w:val="0"/>
        </w:numPr>
        <w:jc w:val="both"/>
        <w:rPr>
          <w:rFonts w:hint="eastAsia"/>
          <w:lang w:val="en-US" w:eastAsia="zh-CN"/>
        </w:rPr>
      </w:pPr>
    </w:p>
    <w:p>
      <w:pPr>
        <w:widowControl w:val="0"/>
        <w:numPr>
          <w:ilvl w:val="0"/>
          <w:numId w:val="1"/>
        </w:numPr>
        <w:jc w:val="both"/>
        <w:rPr>
          <w:rFonts w:hint="eastAsia"/>
          <w:b/>
          <w:bCs/>
          <w:lang w:val="en-US" w:eastAsia="zh-CN"/>
        </w:rPr>
      </w:pPr>
      <w:r>
        <w:rPr>
          <w:rFonts w:hint="eastAsia"/>
          <w:b/>
          <w:bCs/>
          <w:lang w:val="en-US" w:eastAsia="zh-CN"/>
        </w:rPr>
        <w:t>少年儿童积分入医（苏州特色）：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《苏州市区流动人口积分管理子女入医实施细则》（试行）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第三条  在市区范围内的流动人口，当年在市区参加社会保险，纳入本市流动人口积分管理，其子女在市区托幼机构和义务教育阶段学校就读，可首次申请参加苏州市区城乡居民医疗保险。</w:t>
      </w:r>
    </w:p>
    <w:p>
      <w:pPr>
        <w:widowControl w:val="0"/>
        <w:numPr>
          <w:numId w:val="0"/>
        </w:numPr>
        <w:jc w:val="both"/>
        <w:rPr>
          <w:rFonts w:hint="eastAsia"/>
          <w:lang w:val="en-US" w:eastAsia="zh-CN"/>
        </w:rPr>
      </w:pPr>
      <w:r>
        <w:rPr>
          <w:rFonts w:hint="eastAsia"/>
          <w:lang w:val="en-US" w:eastAsia="zh-CN"/>
        </w:rPr>
        <w:t xml:space="preserve">    托幼机构和义务教育阶段学校，是指经市、区教育部门批准设立的公办和民办的托幼机构、小学、初中。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第八条  市流动人口积分管理办公室根据当年流动人口子女首次参加城乡居民医疗保险指标数，按申请人积分高低进行排名，经市人力资源社会保障部门确认后，于每年9月份统一向社会公示流动人口子女入医名单，公示期不得少于5个工作日。公示有异议的，可在公示期内向区流动人口积分管理办公室提出。</w:t>
      </w: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897C"/>
    <w:multiLevelType w:val="singleLevel"/>
    <w:tmpl w:val="57C6897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FC24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2016-08-31T07:42:19Z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