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line="360" w:lineRule="atLeast"/>
        <w:rPr>
          <w:rFonts w:hint="eastAsia" w:ascii="宋体" w:hAnsi="宋体" w:eastAsia="宋体" w:cs="宋体"/>
          <w:sz w:val="21"/>
          <w:szCs w:val="21"/>
        </w:rPr>
      </w:pPr>
      <w:r>
        <w:rPr>
          <w:rStyle w:val="8"/>
        </w:rPr>
        <w:t>关于2016年度外来从业人员参加本市职工基本医疗保险后医保待遇衔接有关问题的通知</w:t>
      </w:r>
      <w:bookmarkStart w:id="0" w:name="_GoBack"/>
      <w:bookmarkEnd w:id="0"/>
    </w:p>
    <w:tbl>
      <w:tblPr>
        <w:tblW w:w="7475" w:type="dxa"/>
        <w:jc w:val="center"/>
        <w:tblInd w:w="416" w:type="dxa"/>
        <w:shd w:val="clear"/>
        <w:tblLayout w:type="fixed"/>
        <w:tblCellMar>
          <w:top w:w="0" w:type="dxa"/>
          <w:left w:w="0" w:type="dxa"/>
          <w:bottom w:w="0" w:type="dxa"/>
          <w:right w:w="0" w:type="dxa"/>
        </w:tblCellMar>
      </w:tblPr>
      <w:tblGrid>
        <w:gridCol w:w="7475"/>
      </w:tblGrid>
      <w:tr>
        <w:tblPrEx>
          <w:shd w:val="clear"/>
          <w:tblLayout w:type="fixed"/>
          <w:tblCellMar>
            <w:top w:w="0" w:type="dxa"/>
            <w:left w:w="0" w:type="dxa"/>
            <w:bottom w:w="0" w:type="dxa"/>
            <w:right w:w="0" w:type="dxa"/>
          </w:tblCellMar>
        </w:tblPrEx>
        <w:trPr>
          <w:jc w:val="center"/>
        </w:trPr>
        <w:tc>
          <w:tcPr>
            <w:tcW w:w="7475" w:type="dxa"/>
            <w:shd w:val="clear"/>
            <w:tcMar>
              <w:top w:w="180" w:type="dxa"/>
            </w:tcMar>
            <w:vAlign w:val="top"/>
          </w:tcPr>
          <w:p>
            <w:pPr>
              <w:pStyle w:val="2"/>
              <w:keepNext w:val="0"/>
              <w:keepLines w:val="0"/>
              <w:widowControl/>
              <w:suppressLineNumbers w:val="0"/>
              <w:spacing w:line="360" w:lineRule="atLeast"/>
            </w:pPr>
            <w:r>
              <w:rPr>
                <w:rFonts w:hint="eastAsia" w:ascii="宋体" w:hAnsi="宋体" w:eastAsia="宋体" w:cs="宋体"/>
                <w:sz w:val="21"/>
                <w:szCs w:val="21"/>
              </w:rPr>
              <w:t>市医疗保险事业管理中心、市医疗保险监督检查所、市人力资源和社会保障咨询服务中心，各区县人力资源和社会保障局、医疗保险办公室，各定点医药机构：</w:t>
            </w:r>
          </w:p>
          <w:p>
            <w:pPr>
              <w:pStyle w:val="2"/>
              <w:keepNext w:val="0"/>
              <w:keepLines w:val="0"/>
              <w:widowControl/>
              <w:suppressLineNumbers w:val="0"/>
              <w:spacing w:line="360" w:lineRule="atLeast"/>
            </w:pPr>
            <w:r>
              <w:rPr>
                <w:rFonts w:hint="eastAsia" w:ascii="宋体" w:hAnsi="宋体" w:eastAsia="宋体" w:cs="宋体"/>
                <w:sz w:val="21"/>
                <w:szCs w:val="21"/>
              </w:rPr>
              <w:t>    为妥善做好非城镇户籍外来从业人员（以下简称外来从业人员）参加本市职工基本医疗保险工作，实现外来从业人员与本市职工医保缴费与待遇接轨。现就待遇衔接有关问题通知如下：</w:t>
            </w:r>
          </w:p>
          <w:p>
            <w:pPr>
              <w:pStyle w:val="2"/>
              <w:keepNext w:val="0"/>
              <w:keepLines w:val="0"/>
              <w:widowControl/>
              <w:suppressLineNumbers w:val="0"/>
              <w:spacing w:line="360" w:lineRule="atLeast"/>
            </w:pPr>
            <w:r>
              <w:rPr>
                <w:rFonts w:hint="eastAsia" w:ascii="宋体" w:hAnsi="宋体" w:eastAsia="宋体" w:cs="宋体"/>
                <w:sz w:val="21"/>
                <w:szCs w:val="21"/>
              </w:rPr>
              <w:t>    一、关于待遇调整的时间及人员范围</w:t>
            </w:r>
          </w:p>
          <w:p>
            <w:pPr>
              <w:pStyle w:val="2"/>
              <w:keepNext w:val="0"/>
              <w:keepLines w:val="0"/>
              <w:widowControl/>
              <w:suppressLineNumbers w:val="0"/>
              <w:spacing w:line="360" w:lineRule="atLeast"/>
            </w:pPr>
            <w:r>
              <w:rPr>
                <w:rFonts w:hint="eastAsia" w:ascii="宋体" w:hAnsi="宋体" w:eastAsia="宋体" w:cs="宋体"/>
                <w:sz w:val="21"/>
                <w:szCs w:val="21"/>
              </w:rPr>
              <w:t>    （一）2016年3月按规定正享受当月外来从业人员医保待遇的人员，自2016年4月1日起统一调整为享受职工基本医疗保险待遇。</w:t>
            </w:r>
          </w:p>
          <w:p>
            <w:pPr>
              <w:pStyle w:val="2"/>
              <w:keepNext w:val="0"/>
              <w:keepLines w:val="0"/>
              <w:widowControl/>
              <w:suppressLineNumbers w:val="0"/>
              <w:spacing w:line="360" w:lineRule="atLeast"/>
            </w:pPr>
            <w:r>
              <w:rPr>
                <w:rFonts w:hint="eastAsia" w:ascii="宋体" w:hAnsi="宋体" w:eastAsia="宋体" w:cs="宋体"/>
                <w:sz w:val="21"/>
                <w:szCs w:val="21"/>
              </w:rPr>
              <w:t>    （二）2016年3月新参保的外来从业人员，自2016年4月15日起享受职工基本医疗保险待遇。</w:t>
            </w:r>
          </w:p>
          <w:p>
            <w:pPr>
              <w:pStyle w:val="2"/>
              <w:keepNext w:val="0"/>
              <w:keepLines w:val="0"/>
              <w:widowControl/>
              <w:suppressLineNumbers w:val="0"/>
              <w:spacing w:line="360" w:lineRule="atLeast"/>
            </w:pPr>
            <w:r>
              <w:rPr>
                <w:rFonts w:hint="eastAsia" w:ascii="宋体" w:hAnsi="宋体" w:eastAsia="宋体" w:cs="宋体"/>
                <w:sz w:val="21"/>
                <w:szCs w:val="21"/>
              </w:rPr>
              <w:t>    二、关于就医记录册的使用</w:t>
            </w:r>
          </w:p>
          <w:p>
            <w:pPr>
              <w:pStyle w:val="2"/>
              <w:keepNext w:val="0"/>
              <w:keepLines w:val="0"/>
              <w:widowControl/>
              <w:suppressLineNumbers w:val="0"/>
              <w:spacing w:line="360" w:lineRule="atLeast"/>
            </w:pPr>
            <w:r>
              <w:rPr>
                <w:rFonts w:hint="eastAsia" w:ascii="宋体" w:hAnsi="宋体" w:eastAsia="宋体" w:cs="宋体"/>
                <w:sz w:val="21"/>
                <w:szCs w:val="21"/>
              </w:rPr>
              <w:t>    2016医保年度内，外来从业人员门诊就医时可暂不使用《上海市基本医疗保险门急诊就医记录册（自管）》。</w:t>
            </w:r>
          </w:p>
          <w:p>
            <w:pPr>
              <w:pStyle w:val="2"/>
              <w:keepNext w:val="0"/>
              <w:keepLines w:val="0"/>
              <w:widowControl/>
              <w:suppressLineNumbers w:val="0"/>
              <w:spacing w:line="360" w:lineRule="atLeast"/>
            </w:pPr>
            <w:r>
              <w:rPr>
                <w:rFonts w:hint="eastAsia" w:ascii="宋体" w:hAnsi="宋体" w:eastAsia="宋体" w:cs="宋体"/>
                <w:sz w:val="21"/>
                <w:szCs w:val="21"/>
              </w:rPr>
              <w:t>    三、其他</w:t>
            </w:r>
          </w:p>
          <w:p>
            <w:pPr>
              <w:pStyle w:val="2"/>
              <w:keepNext w:val="0"/>
              <w:keepLines w:val="0"/>
              <w:widowControl/>
              <w:suppressLineNumbers w:val="0"/>
              <w:spacing w:line="360" w:lineRule="atLeast"/>
            </w:pPr>
            <w:r>
              <w:rPr>
                <w:rFonts w:hint="eastAsia" w:ascii="宋体" w:hAnsi="宋体" w:eastAsia="宋体" w:cs="宋体"/>
                <w:sz w:val="21"/>
                <w:szCs w:val="21"/>
              </w:rPr>
              <w:t>    本办法自2016年4月1日起实施，有效期至2017年3月31日。《上海市人力资源和社会保障局，上海市医疗保险办公室关于下发&lt;关于外来从业人员参加本市城镇职工基本医疗保险若干问题的通知的实施细则&gt;的通知》（沪人社医发〔2011〕38号）同时废止。</w:t>
            </w:r>
          </w:p>
          <w:p>
            <w:pPr>
              <w:pStyle w:val="2"/>
              <w:keepNext w:val="0"/>
              <w:keepLines w:val="0"/>
              <w:widowControl/>
              <w:suppressLineNumbers w:val="0"/>
              <w:spacing w:line="360" w:lineRule="atLeast"/>
              <w:jc w:val="right"/>
            </w:pPr>
            <w:r>
              <w:rPr>
                <w:rFonts w:hint="eastAsia" w:ascii="宋体" w:hAnsi="宋体" w:eastAsia="宋体" w:cs="宋体"/>
                <w:sz w:val="21"/>
                <w:szCs w:val="21"/>
              </w:rPr>
              <w:t>上海市人力资源和社会保障局</w:t>
            </w:r>
            <w:r>
              <w:rPr>
                <w:rFonts w:hint="eastAsia" w:ascii="宋体" w:hAnsi="宋体" w:eastAsia="宋体" w:cs="宋体"/>
                <w:sz w:val="21"/>
                <w:szCs w:val="21"/>
              </w:rPr>
              <w:br w:type="textWrapping"/>
            </w:r>
            <w:r>
              <w:rPr>
                <w:rFonts w:hint="eastAsia" w:ascii="宋体" w:hAnsi="宋体" w:eastAsia="宋体" w:cs="宋体"/>
                <w:sz w:val="21"/>
                <w:szCs w:val="21"/>
              </w:rPr>
              <w:t>上海市医疗保险办公室</w:t>
            </w:r>
            <w:r>
              <w:rPr>
                <w:rFonts w:hint="eastAsia" w:ascii="宋体" w:hAnsi="宋体" w:eastAsia="宋体" w:cs="宋体"/>
                <w:sz w:val="21"/>
                <w:szCs w:val="21"/>
              </w:rPr>
              <w:br w:type="textWrapping"/>
            </w:r>
            <w:r>
              <w:rPr>
                <w:rFonts w:hint="eastAsia" w:ascii="宋体" w:hAnsi="宋体" w:eastAsia="宋体" w:cs="宋体"/>
                <w:sz w:val="21"/>
                <w:szCs w:val="21"/>
              </w:rPr>
              <w:t>2016年3月31日</w:t>
            </w:r>
          </w:p>
          <w:p>
            <w:pPr>
              <w:keepNext w:val="0"/>
              <w:keepLines w:val="0"/>
              <w:widowControl/>
              <w:suppressLineNumbers w:val="0"/>
              <w:pBdr>
                <w:top w:val="none" w:color="auto" w:sz="0" w:space="0"/>
              </w:pBdr>
              <w:spacing w:line="360" w:lineRule="atLeast"/>
              <w:jc w:val="left"/>
              <w:rPr>
                <w:rFonts w:hint="eastAsia" w:ascii="宋体" w:hAnsi="宋体" w:eastAsia="宋体" w:cs="宋体"/>
                <w:vanish/>
                <w:sz w:val="21"/>
                <w:szCs w:val="21"/>
              </w:rPr>
            </w:pPr>
            <w:r>
              <w:rPr>
                <w:rFonts w:hint="eastAsia" w:ascii="宋体" w:hAnsi="宋体" w:eastAsia="宋体" w:cs="宋体"/>
                <w:vanish/>
                <w:kern w:val="0"/>
                <w:sz w:val="21"/>
                <w:szCs w:val="21"/>
                <w:lang w:val="en-US" w:eastAsia="zh-CN" w:bidi="ar"/>
              </w:rPr>
              <w:t>市医疗保险事业管理中心、市医疗保险监督检查所、市人力资源和社会保障咨询服务中心，各区县人力资源和社会保障局、医疗保险办公室，各定点医药机构： 为妥善做好非城镇户籍外来从业人员（以下简称外来从业人员）参加本市职工基本医疗保险工作，实现外来从业人员与本市职工医保缴费与待遇接轨。现就待遇衔接有关问题通知如下： 一、关于待遇调整的时间及人员范围 （一）2016年3月按规定正享受当月外来从业人员医保待遇的人员，自2016年4月1日起统一调整为享受职工基本医疗保险待遇。 （二）2016年3月新参保的外来从业人员，自2016年4月15日起享受职工基本医疗保险待遇。 二、关于就医记录册的使用 2016医保年度内，外来从业人员门诊就医时可暂不使用《上海市基本医疗保险门急诊就医记录册（自管）》。 三、其他 本办法自2016年4月1日起实施，有效期至2017年3月31日。《上海市人力资源和社会保障局，上海市医疗保险办公室关于下发&lt;关于外来从业人员参加本市城镇职工基本医疗保险若干问题的通知的实施细则&gt;的通知》（沪人社医发〔2011〕38号）同时废止。上海市人力资源和社会保障局上海市医疗保险办公室 2016年3月31日</w:t>
            </w:r>
          </w:p>
        </w:tc>
      </w:tr>
      <w:tr>
        <w:tblPrEx>
          <w:shd w:val="clear"/>
          <w:tblLayout w:type="fixed"/>
          <w:tblCellMar>
            <w:top w:w="0" w:type="dxa"/>
            <w:left w:w="0" w:type="dxa"/>
            <w:bottom w:w="0" w:type="dxa"/>
            <w:right w:w="0" w:type="dxa"/>
          </w:tblCellMar>
        </w:tblPrEx>
        <w:trPr>
          <w:jc w:val="center"/>
        </w:trPr>
        <w:tc>
          <w:tcPr>
            <w:tcW w:w="7475" w:type="dxa"/>
            <w:shd w:val="clear"/>
            <w:vAlign w:val="center"/>
          </w:tcPr>
          <w:p>
            <w:pPr>
              <w:jc w:val="center"/>
              <w:rPr>
                <w:rFonts w:hint="eastAsia" w:ascii="宋体" w:hAnsi="宋体" w:eastAsia="宋体" w:cs="宋体"/>
                <w:sz w:val="18"/>
                <w:szCs w:val="18"/>
              </w:rPr>
            </w:pPr>
          </w:p>
        </w:tc>
      </w:tr>
      <w:tr>
        <w:tblPrEx>
          <w:tblLayout w:type="fixed"/>
          <w:tblCellMar>
            <w:top w:w="0" w:type="dxa"/>
            <w:left w:w="0" w:type="dxa"/>
            <w:bottom w:w="0" w:type="dxa"/>
            <w:right w:w="0" w:type="dxa"/>
          </w:tblCellMar>
        </w:tblPrEx>
        <w:trPr>
          <w:trHeight w:val="121" w:hRule="atLeast"/>
          <w:jc w:val="center"/>
        </w:trPr>
        <w:tc>
          <w:tcPr>
            <w:tcW w:w="7475" w:type="dxa"/>
            <w:shd w:val="clear"/>
            <w:vAlign w:val="center"/>
          </w:tcPr>
          <w:p>
            <w:pPr>
              <w:rPr>
                <w:rFonts w:hint="eastAsia" w:ascii="宋体" w:hAnsi="宋体" w:eastAsia="宋体" w:cs="宋体"/>
                <w:sz w:val="18"/>
                <w:szCs w:val="18"/>
              </w:rPr>
            </w:pPr>
          </w:p>
        </w:tc>
      </w:tr>
      <w:tr>
        <w:tblPrEx>
          <w:tblLayout w:type="fixed"/>
          <w:tblCellMar>
            <w:top w:w="0" w:type="dxa"/>
            <w:left w:w="0" w:type="dxa"/>
            <w:bottom w:w="0" w:type="dxa"/>
            <w:right w:w="0" w:type="dxa"/>
          </w:tblCellMar>
        </w:tblPrEx>
        <w:trPr>
          <w:jc w:val="center"/>
        </w:trPr>
        <w:tc>
          <w:tcPr>
            <w:tcW w:w="7475" w:type="dxa"/>
            <w:shd w:val="clear"/>
            <w:vAlign w:val="center"/>
          </w:tcPr>
          <w:p>
            <w:pPr>
              <w:rPr>
                <w:rFonts w:hint="eastAsia" w:ascii="宋体" w:hAnsi="宋体" w:eastAsia="宋体" w:cs="宋体"/>
                <w:sz w:val="18"/>
                <w:szCs w:val="18"/>
              </w:rPr>
            </w:pPr>
          </w:p>
        </w:tc>
      </w:tr>
      <w:tr>
        <w:tblPrEx>
          <w:tblLayout w:type="fixed"/>
          <w:tblCellMar>
            <w:top w:w="0" w:type="dxa"/>
            <w:left w:w="0" w:type="dxa"/>
            <w:bottom w:w="0" w:type="dxa"/>
            <w:right w:w="0" w:type="dxa"/>
          </w:tblCellMar>
        </w:tblPrEx>
        <w:trPr>
          <w:trHeight w:val="121" w:hRule="atLeast"/>
          <w:jc w:val="center"/>
        </w:trPr>
        <w:tc>
          <w:tcPr>
            <w:tcW w:w="7475" w:type="dxa"/>
            <w:shd w:val="clear"/>
            <w:vAlign w:val="center"/>
          </w:tcPr>
          <w:p>
            <w:pPr>
              <w:rPr>
                <w:rFonts w:hint="eastAsia" w:ascii="宋体" w:hAnsi="宋体" w:eastAsia="宋体" w:cs="宋体"/>
                <w:sz w:val="18"/>
                <w:szCs w:val="18"/>
              </w:rPr>
            </w:pPr>
          </w:p>
        </w:tc>
      </w:tr>
    </w:tbl>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92428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FollowedHyperlink"/>
    <w:basedOn w:val="3"/>
    <w:uiPriority w:val="0"/>
    <w:rPr>
      <w:color w:val="585858"/>
      <w:u w:val="none"/>
    </w:rPr>
  </w:style>
  <w:style w:type="character" w:styleId="5">
    <w:name w:val="Hyperlink"/>
    <w:basedOn w:val="3"/>
    <w:uiPriority w:val="0"/>
    <w:rPr>
      <w:color w:val="000000"/>
      <w:u w:val="none"/>
    </w:rPr>
  </w:style>
  <w:style w:type="character" w:customStyle="1" w:styleId="7">
    <w:name w:val="bsharetext"/>
    <w:basedOn w:val="3"/>
    <w:uiPriority w:val="0"/>
  </w:style>
  <w:style w:type="character" w:customStyle="1" w:styleId="8">
    <w:name w:val="style71"/>
    <w:basedOn w:val="3"/>
    <w:uiPriority w:val="0"/>
    <w:rPr>
      <w:rFonts w:hint="eastAsia" w:ascii="宋体" w:hAnsi="宋体" w:eastAsia="宋体" w:cs="宋体"/>
      <w:b/>
      <w:color w:val="21659A"/>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2016-08-07T09:23:05Z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