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center"/>
        <w:rPr>
          <w:rFonts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68"/>
          <w:szCs w:val="68"/>
          <w:bdr w:val="none" w:color="auto" w:sz="0" w:space="0"/>
          <w:shd w:val="clear" w:fill="FFFFFF"/>
        </w:rPr>
        <w:t>天津市教育委员会文件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center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center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center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津教委〔2016〕10号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center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  <w:t>_______________________________________________________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center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center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市教委关于印发天津市2016年幼儿园招生工作指导意见的通知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各区、县教育局，天铁集团教委：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为全面推进依法办园，进一步规范幼儿园招生工作，市教委制定了《天津市2016年幼儿园招生工作指导意见》，现印发给你们，请遵照执行。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3518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2016年4月1日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（此件主动公开）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FFFFF"/>
        </w:rPr>
        <w:t>天津市2016年幼儿园招生工作指导意见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根据国家和我市有关学前教育政策法规要求，为规范有序做好幼儿园招生工作，特制定天津市2016年幼儿园招生工作指导意见。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一、指导思想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以《中华人民共和国教育法》、《中华人民共和国民办教育促进法》、《幼儿园工作规程》等法律法规为指导，以公平、公正、公开为原则，规范有序做好幼儿园招生工作。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二、相关政策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（一）招生对象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凡符合报名条件的年满3周岁（2012年9月1日至2013年8月31日间出生），身体健康、可正常参加集体活动的幼儿均可报名。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（二）招生时间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2016年幼儿园招生时间为4月23-29日。招生的具体时间、地点、办理手续等事项，由各区县教育局和天铁集团教委制定。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（三）报名条件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适龄幼儿入园报名时，原则上须提供居民户口薄（包括蓝印户口）或合法固定居所的证明，以及儿童预防接种证，到所属区县的幼儿园报名。各区县根据工作实际，进一步细化具体招生条件。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三、工作要求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一）各区县要认真履行学前教育管理职责。幼儿园招生工作由市教委宏观统筹，各区县教育行政部门组织实施。各区县教育行政部门要在区县政府的领导下，切实加强学前教育资源建设，鼓励普惠性幼儿园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（二）各区县要依法依规组织幼儿园招生工作。要依据《幼儿园工作规程》（中华人民共和国教育部令第39号）、《国家发展改革委教育部 财政部关于印发&lt;幼儿园收费管理暂行办法&gt;的通知》（发改价格〔2011〕3207号）和《教育部等五部门关于2013年规范教育收费治理教育乱收费工作的实施意见》（教办〔2013〕4号）等文件精神，落实对幼儿园入园、编班、收费等方面的规定和要求。鼓励幼儿园接收具有接受普通教育能力的残疾儿童入园。幼儿园要努力为外来务工人员随迁子女接受学前教育创造条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三）各区县要切实落实招生工作信息公开。要在招生前将幼儿园招生政策及时、准确、全面地向社会公布，公布时间不少于5天。区县教育行政部门和幼儿园要加强与各有关方面的协调和沟通，做好政策宣传、解读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四）各区县要多种形式扩大资源。企业、事业单位和机关、团体设置的幼儿园，除招收本单位工作人员的子女外，应当积极创造条件向社会开放，招收附近居民子女入园。民办幼儿园根据办园条件，合理确定招生规模，可自行确定招生时间，招生简章应当报审批机关备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43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五）各区县教育行政部门要制定并上报本区县幼儿园招生工作方案。要结合本区县（单位）的实际情况，认真调查研究，制定具体方案，落实各项工作要求。请将工作方案于2016年4月15日前报送至市教委学前教育处，纸质版须加盖区县教育行政部门（单位）公章，电子版一并报送至教委学前教育处电子邮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both"/>
        <w:rPr>
          <w:rFonts w:hint="default" w:ascii="’Times New Roman’" w:hAnsi="’Times New Roman’" w:eastAsia="’Times New Roman’" w:cs="’Times New Roman’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仿宋_GB2312" w:hAnsi="’Times New Roman’" w:eastAsia="仿宋_GB2312" w:cs="仿宋_GB2312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天津市教育委员会办公室           2016年4月1日印发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’Times New Roman’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65C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2016-08-16T13:11:49Z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