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12044" w:type="dxa"/>
        <w:tblCellSpacing w:w="0" w:type="dxa"/>
        <w:tblInd w:w="0" w:type="dxa"/>
        <w:shd w:val="clear" w:color="auto" w:fill="FFFFFF"/>
        <w:tblLayout w:type="fixed"/>
        <w:tblCellMar>
          <w:top w:w="0" w:type="dxa"/>
          <w:left w:w="0" w:type="dxa"/>
          <w:bottom w:w="0" w:type="dxa"/>
          <w:right w:w="0" w:type="dxa"/>
        </w:tblCellMar>
      </w:tblPr>
      <w:tblGrid>
        <w:gridCol w:w="11862"/>
        <w:gridCol w:w="182"/>
      </w:tblGrid>
      <w:tr>
        <w:tblPrEx>
          <w:shd w:val="clear" w:color="auto" w:fill="FFFFFF"/>
          <w:tblLayout w:type="fixed"/>
          <w:tblCellMar>
            <w:top w:w="0" w:type="dxa"/>
            <w:left w:w="0" w:type="dxa"/>
            <w:bottom w:w="0" w:type="dxa"/>
            <w:right w:w="0" w:type="dxa"/>
          </w:tblCellMar>
        </w:tblPrEx>
        <w:trPr>
          <w:trHeight w:val="450" w:hRule="atLeast"/>
          <w:tblCellSpacing w:w="0" w:type="dxa"/>
        </w:trPr>
        <w:tc>
          <w:tcPr>
            <w:tcW w:w="11862" w:type="dxa"/>
            <w:shd w:val="clear" w:color="auto" w:fill="FFF5EC"/>
            <w:vAlign w:val="center"/>
          </w:tcPr>
          <w:p>
            <w:pPr>
              <w:keepNext w:val="0"/>
              <w:keepLines w:val="0"/>
              <w:widowControl/>
              <w:suppressLineNumbers w:val="0"/>
              <w:shd w:val="clear" w:fill="FFF5EC"/>
              <w:spacing w:line="240" w:lineRule="auto"/>
              <w:ind w:left="0" w:firstLine="0"/>
              <w:jc w:val="left"/>
              <w:rPr>
                <w:rFonts w:hint="eastAsia" w:ascii="宋体" w:hAnsi="宋体" w:eastAsia="宋体" w:cs="宋体"/>
                <w:b w:val="0"/>
                <w:i w:val="0"/>
                <w:caps w:val="0"/>
                <w:color w:val="000000"/>
                <w:spacing w:val="0"/>
                <w:sz w:val="18"/>
                <w:szCs w:val="18"/>
              </w:rPr>
            </w:pPr>
            <w:bookmarkStart w:id="0" w:name="_GoBack" w:colFirst="0" w:colLast="0"/>
            <w:r>
              <w:rPr>
                <w:rFonts w:hint="eastAsia" w:ascii="宋体" w:hAnsi="宋体" w:eastAsia="宋体" w:cs="宋体"/>
                <w:b w:val="0"/>
                <w:i w:val="0"/>
                <w:caps w:val="0"/>
                <w:color w:val="000000"/>
                <w:spacing w:val="0"/>
                <w:kern w:val="0"/>
                <w:sz w:val="18"/>
                <w:szCs w:val="18"/>
                <w:lang w:val="en-US" w:eastAsia="zh-CN" w:bidi="ar"/>
              </w:rPr>
              <w:t>【标 　 题】 关于落实《天津市限价商品住房管理暂行办法》有关问题的通知</w:t>
            </w:r>
          </w:p>
        </w:tc>
        <w:tc>
          <w:tcPr>
            <w:tcW w:w="182" w:type="dxa"/>
            <w:vMerge w:val="restart"/>
            <w:shd w:val="clear" w:color="auto" w:fill="FFFFFF"/>
            <w:vAlign w:val="center"/>
          </w:tcPr>
          <w:p>
            <w:pPr>
              <w:rPr>
                <w:rFonts w:hint="eastAsia" w:ascii="宋体" w:hAnsi="宋体" w:eastAsia="宋体" w:cs="宋体"/>
                <w:b w:val="0"/>
                <w:i w:val="0"/>
                <w:caps w:val="0"/>
                <w:color w:val="000000"/>
                <w:spacing w:val="0"/>
                <w:sz w:val="18"/>
                <w:szCs w:val="18"/>
              </w:rPr>
            </w:pPr>
          </w:p>
        </w:tc>
      </w:tr>
      <w:bookmarkEnd w:id="0"/>
      <w:tr>
        <w:tblPrEx>
          <w:shd w:val="clear" w:color="auto" w:fill="FFFFFF"/>
          <w:tblLayout w:type="fixed"/>
          <w:tblCellMar>
            <w:top w:w="0" w:type="dxa"/>
            <w:left w:w="0" w:type="dxa"/>
            <w:bottom w:w="0" w:type="dxa"/>
            <w:right w:w="0" w:type="dxa"/>
          </w:tblCellMar>
        </w:tblPrEx>
        <w:trPr>
          <w:trHeight w:val="450" w:hRule="atLeast"/>
          <w:tblCellSpacing w:w="0" w:type="dxa"/>
        </w:trPr>
        <w:tc>
          <w:tcPr>
            <w:tcW w:w="11862" w:type="dxa"/>
            <w:shd w:val="clear" w:color="auto" w:fill="FFF5EC"/>
            <w:vAlign w:val="center"/>
          </w:tcPr>
          <w:p>
            <w:pPr>
              <w:keepNext w:val="0"/>
              <w:keepLines w:val="0"/>
              <w:widowControl/>
              <w:suppressLineNumbers w:val="0"/>
              <w:shd w:val="clear" w:fill="FFF5EC"/>
              <w:spacing w:line="240" w:lineRule="auto"/>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lang w:val="en-US" w:eastAsia="zh-CN" w:bidi="ar"/>
              </w:rPr>
              <w:t>【文　　号】 津国土房改〔2008〕291号</w:t>
            </w:r>
          </w:p>
        </w:tc>
        <w:tc>
          <w:tcPr>
            <w:tcW w:w="182" w:type="dxa"/>
            <w:vMerge w:val="continue"/>
            <w:shd w:val="clear" w:color="auto" w:fill="FFFFFF"/>
            <w:vAlign w:val="center"/>
          </w:tcPr>
          <w:p>
            <w:pPr>
              <w:rPr>
                <w:rFonts w:hint="eastAsia" w:ascii="宋体" w:hAnsi="宋体" w:eastAsia="宋体" w:cs="宋体"/>
                <w:b w:val="0"/>
                <w:i w:val="0"/>
                <w:caps w:val="0"/>
                <w:color w:val="000000"/>
                <w:spacing w:val="0"/>
                <w:sz w:val="18"/>
                <w:szCs w:val="18"/>
              </w:rPr>
            </w:pPr>
          </w:p>
        </w:tc>
      </w:tr>
      <w:tr>
        <w:tblPrEx>
          <w:shd w:val="clear" w:color="auto" w:fill="FFFFFF"/>
          <w:tblLayout w:type="fixed"/>
          <w:tblCellMar>
            <w:top w:w="0" w:type="dxa"/>
            <w:left w:w="0" w:type="dxa"/>
            <w:bottom w:w="0" w:type="dxa"/>
            <w:right w:w="0" w:type="dxa"/>
          </w:tblCellMar>
        </w:tblPrEx>
        <w:trPr>
          <w:trHeight w:val="450" w:hRule="atLeast"/>
          <w:tblCellSpacing w:w="0" w:type="dxa"/>
        </w:trPr>
        <w:tc>
          <w:tcPr>
            <w:tcW w:w="11862" w:type="dxa"/>
            <w:shd w:val="clear" w:color="auto" w:fill="FFF5EC"/>
            <w:vAlign w:val="center"/>
          </w:tcPr>
          <w:p>
            <w:pPr>
              <w:keepNext w:val="0"/>
              <w:keepLines w:val="0"/>
              <w:widowControl/>
              <w:suppressLineNumbers w:val="0"/>
              <w:shd w:val="clear" w:fill="FFF5EC"/>
              <w:spacing w:line="240" w:lineRule="auto"/>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lang w:val="en-US" w:eastAsia="zh-CN" w:bidi="ar"/>
              </w:rPr>
              <w:t>【内容分类】 住房保障</w:t>
            </w:r>
          </w:p>
        </w:tc>
        <w:tc>
          <w:tcPr>
            <w:tcW w:w="182" w:type="dxa"/>
            <w:vMerge w:val="continue"/>
            <w:shd w:val="clear" w:color="auto" w:fill="FFFFFF"/>
            <w:vAlign w:val="center"/>
          </w:tcPr>
          <w:p>
            <w:pPr>
              <w:rPr>
                <w:rFonts w:hint="eastAsia" w:ascii="宋体" w:hAnsi="宋体" w:eastAsia="宋体" w:cs="宋体"/>
                <w:b w:val="0"/>
                <w:i w:val="0"/>
                <w:caps w:val="0"/>
                <w:color w:val="000000"/>
                <w:spacing w:val="0"/>
                <w:sz w:val="18"/>
                <w:szCs w:val="18"/>
              </w:rPr>
            </w:pPr>
          </w:p>
        </w:tc>
      </w:tr>
      <w:tr>
        <w:tblPrEx>
          <w:shd w:val="clear" w:color="auto" w:fill="FFFFFF"/>
          <w:tblLayout w:type="fixed"/>
          <w:tblCellMar>
            <w:top w:w="0" w:type="dxa"/>
            <w:left w:w="0" w:type="dxa"/>
            <w:bottom w:w="0" w:type="dxa"/>
            <w:right w:w="0" w:type="dxa"/>
          </w:tblCellMar>
        </w:tblPrEx>
        <w:trPr>
          <w:trHeight w:val="450" w:hRule="atLeast"/>
          <w:tblCellSpacing w:w="0" w:type="dxa"/>
        </w:trPr>
        <w:tc>
          <w:tcPr>
            <w:tcW w:w="11862" w:type="dxa"/>
            <w:shd w:val="clear" w:color="auto" w:fill="FFF5EC"/>
            <w:vAlign w:val="center"/>
          </w:tcPr>
          <w:p>
            <w:pPr>
              <w:keepNext w:val="0"/>
              <w:keepLines w:val="0"/>
              <w:widowControl/>
              <w:suppressLineNumbers w:val="0"/>
              <w:shd w:val="clear" w:fill="FFF5EC"/>
              <w:spacing w:line="240" w:lineRule="auto"/>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lang w:val="en-US" w:eastAsia="zh-CN" w:bidi="ar"/>
              </w:rPr>
              <w:t>【颁布单位】 有关委局</w:t>
            </w:r>
          </w:p>
        </w:tc>
        <w:tc>
          <w:tcPr>
            <w:tcW w:w="182" w:type="dxa"/>
            <w:vMerge w:val="continue"/>
            <w:shd w:val="clear" w:color="auto" w:fill="FFFFFF"/>
            <w:vAlign w:val="center"/>
          </w:tcPr>
          <w:p>
            <w:pPr>
              <w:rPr>
                <w:rFonts w:hint="eastAsia" w:ascii="宋体" w:hAnsi="宋体" w:eastAsia="宋体" w:cs="宋体"/>
                <w:b w:val="0"/>
                <w:i w:val="0"/>
                <w:caps w:val="0"/>
                <w:color w:val="000000"/>
                <w:spacing w:val="0"/>
                <w:sz w:val="18"/>
                <w:szCs w:val="18"/>
              </w:rPr>
            </w:pPr>
          </w:p>
        </w:tc>
      </w:tr>
      <w:tr>
        <w:tblPrEx>
          <w:shd w:val="clear" w:color="auto" w:fill="FFFFFF"/>
          <w:tblLayout w:type="fixed"/>
          <w:tblCellMar>
            <w:top w:w="0" w:type="dxa"/>
            <w:left w:w="0" w:type="dxa"/>
            <w:bottom w:w="0" w:type="dxa"/>
            <w:right w:w="0" w:type="dxa"/>
          </w:tblCellMar>
        </w:tblPrEx>
        <w:trPr>
          <w:trHeight w:val="450" w:hRule="atLeast"/>
          <w:tblCellSpacing w:w="0" w:type="dxa"/>
        </w:trPr>
        <w:tc>
          <w:tcPr>
            <w:tcW w:w="11862" w:type="dxa"/>
            <w:shd w:val="clear" w:color="auto" w:fill="FFF5EC"/>
            <w:vAlign w:val="center"/>
          </w:tcPr>
          <w:p>
            <w:pPr>
              <w:keepNext w:val="0"/>
              <w:keepLines w:val="0"/>
              <w:widowControl/>
              <w:suppressLineNumbers w:val="0"/>
              <w:shd w:val="clear" w:fill="FFF5EC"/>
              <w:spacing w:line="240" w:lineRule="auto"/>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lang w:val="en-US" w:eastAsia="zh-CN" w:bidi="ar"/>
              </w:rPr>
              <w:t>【颁布日期】 2008-4-20</w:t>
            </w:r>
          </w:p>
        </w:tc>
        <w:tc>
          <w:tcPr>
            <w:tcW w:w="182" w:type="dxa"/>
            <w:vMerge w:val="continue"/>
            <w:shd w:val="clear" w:color="auto" w:fill="FFFFFF"/>
            <w:vAlign w:val="center"/>
          </w:tcPr>
          <w:p>
            <w:pPr>
              <w:rPr>
                <w:rFonts w:hint="eastAsia" w:ascii="宋体" w:hAnsi="宋体" w:eastAsia="宋体" w:cs="宋体"/>
                <w:b w:val="0"/>
                <w:i w:val="0"/>
                <w:caps w:val="0"/>
                <w:color w:val="000000"/>
                <w:spacing w:val="0"/>
                <w:sz w:val="18"/>
                <w:szCs w:val="18"/>
              </w:rPr>
            </w:pPr>
          </w:p>
        </w:tc>
      </w:tr>
      <w:tr>
        <w:tblPrEx>
          <w:shd w:val="clear" w:color="auto" w:fill="FFFFFF"/>
          <w:tblLayout w:type="fixed"/>
          <w:tblCellMar>
            <w:top w:w="0" w:type="dxa"/>
            <w:left w:w="0" w:type="dxa"/>
            <w:bottom w:w="0" w:type="dxa"/>
            <w:right w:w="0" w:type="dxa"/>
          </w:tblCellMar>
        </w:tblPrEx>
        <w:trPr>
          <w:trHeight w:val="7665" w:hRule="atLeast"/>
          <w:tblCellSpacing w:w="0" w:type="dxa"/>
        </w:trPr>
        <w:tc>
          <w:tcPr>
            <w:tcW w:w="11862" w:type="dxa"/>
            <w:shd w:val="clear" w:color="auto" w:fill="FFF5EC"/>
            <w:vAlign w:val="top"/>
          </w:tcPr>
          <w:tbl>
            <w:tblPr>
              <w:tblW w:w="10500" w:type="dxa"/>
              <w:jc w:val="center"/>
              <w:tblCellSpacing w:w="0" w:type="dxa"/>
              <w:tblInd w:w="681" w:type="dxa"/>
              <w:shd w:val="clear"/>
              <w:tblLayout w:type="fixed"/>
              <w:tblCellMar>
                <w:top w:w="0" w:type="dxa"/>
                <w:left w:w="0" w:type="dxa"/>
                <w:bottom w:w="0" w:type="dxa"/>
                <w:right w:w="0" w:type="dxa"/>
              </w:tblCellMar>
            </w:tblPr>
            <w:tblGrid>
              <w:gridCol w:w="10500"/>
            </w:tblGrid>
            <w:tr>
              <w:tblPrEx>
                <w:shd w:val="clear"/>
                <w:tblLayout w:type="fixed"/>
                <w:tblCellMar>
                  <w:top w:w="0" w:type="dxa"/>
                  <w:left w:w="0" w:type="dxa"/>
                  <w:bottom w:w="0" w:type="dxa"/>
                  <w:right w:w="0" w:type="dxa"/>
                </w:tblCellMar>
              </w:tblPrEx>
              <w:trPr>
                <w:trHeight w:val="900" w:hRule="atLeast"/>
                <w:tblCellSpacing w:w="0" w:type="dxa"/>
                <w:jc w:val="center"/>
              </w:trPr>
              <w:tc>
                <w:tcPr>
                  <w:tcW w:w="10500" w:type="dxa"/>
                  <w:shd w:val="clear"/>
                  <w:vAlign w:val="center"/>
                </w:tcPr>
                <w:p>
                  <w:pPr>
                    <w:keepNext w:val="0"/>
                    <w:keepLines w:val="0"/>
                    <w:widowControl/>
                    <w:suppressLineNumbers w:val="0"/>
                    <w:jc w:val="center"/>
                    <w:rPr>
                      <w:rFonts w:hint="eastAsia" w:ascii="宋体" w:hAnsi="宋体" w:eastAsia="宋体" w:cs="宋体"/>
                      <w:b/>
                      <w:color w:val="AF0100"/>
                      <w:sz w:val="30"/>
                      <w:szCs w:val="30"/>
                    </w:rPr>
                  </w:pPr>
                  <w:r>
                    <w:rPr>
                      <w:rFonts w:hint="eastAsia" w:ascii="宋体" w:hAnsi="宋体" w:eastAsia="宋体" w:cs="宋体"/>
                      <w:b/>
                      <w:color w:val="AF0100"/>
                      <w:kern w:val="0"/>
                      <w:sz w:val="30"/>
                      <w:szCs w:val="30"/>
                      <w:lang w:val="en-US" w:eastAsia="zh-CN" w:bidi="ar"/>
                    </w:rPr>
                    <w:t>关于落实《天津市限价商品住房管理暂行办法》有关问题的通知</w:t>
                  </w:r>
                </w:p>
              </w:tc>
            </w:tr>
            <w:tr>
              <w:tblPrEx>
                <w:shd w:val="clear"/>
                <w:tblLayout w:type="fixed"/>
                <w:tblCellMar>
                  <w:top w:w="0" w:type="dxa"/>
                  <w:left w:w="0" w:type="dxa"/>
                  <w:bottom w:w="0" w:type="dxa"/>
                  <w:right w:w="0" w:type="dxa"/>
                </w:tblCellMar>
              </w:tblPrEx>
              <w:trPr>
                <w:trHeight w:val="136" w:hRule="atLeast"/>
                <w:tblCellSpacing w:w="0" w:type="dxa"/>
                <w:jc w:val="center"/>
              </w:trPr>
              <w:tc>
                <w:tcPr>
                  <w:tcW w:w="10500" w:type="dxa"/>
                  <w:shd w:val="clear"/>
                  <w:vAlign w:val="center"/>
                </w:tcPr>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fldChar w:fldCharType="begin"/>
                  </w:r>
                  <w:r>
                    <w:rPr>
                      <w:rFonts w:hint="eastAsia" w:ascii="宋体" w:hAnsi="宋体" w:eastAsia="宋体" w:cs="宋体"/>
                      <w:kern w:val="0"/>
                      <w:sz w:val="18"/>
                      <w:szCs w:val="18"/>
                      <w:lang w:val="en-US" w:eastAsia="zh-CN" w:bidi="ar"/>
                    </w:rPr>
                    <w:instrText xml:space="preserve">INCLUDEPICTURE \d "http://www.tjfgnet.gov.cn:8084/_layouts/images/fanggaiwang/more/xinwenjujiaor5_c1.jpg" \* MERGEFORMATINET </w:instrText>
                  </w:r>
                  <w:r>
                    <w:rPr>
                      <w:rFonts w:hint="eastAsia" w:ascii="宋体" w:hAnsi="宋体" w:eastAsia="宋体" w:cs="宋体"/>
                      <w:kern w:val="0"/>
                      <w:sz w:val="18"/>
                      <w:szCs w:val="18"/>
                      <w:lang w:val="en-US" w:eastAsia="zh-CN" w:bidi="ar"/>
                    </w:rPr>
                    <w:fldChar w:fldCharType="separate"/>
                  </w:r>
                  <w:r>
                    <w:rPr>
                      <w:rFonts w:hint="eastAsia" w:ascii="宋体" w:hAnsi="宋体" w:eastAsia="宋体" w:cs="宋体"/>
                      <w:kern w:val="0"/>
                      <w:sz w:val="18"/>
                      <w:szCs w:val="18"/>
                      <w:lang w:val="en-US" w:eastAsia="zh-CN" w:bidi="ar"/>
                    </w:rPr>
                    <w:drawing>
                      <wp:inline distT="0" distB="0" distL="114300" distR="114300">
                        <wp:extent cx="5391150" cy="85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391150" cy="85725"/>
                                </a:xfrm>
                                <a:prstGeom prst="rect">
                                  <a:avLst/>
                                </a:prstGeom>
                                <a:noFill/>
                                <a:ln w="9525">
                                  <a:noFill/>
                                </a:ln>
                              </pic:spPr>
                            </pic:pic>
                          </a:graphicData>
                        </a:graphic>
                      </wp:inline>
                    </w:drawing>
                  </w:r>
                  <w:r>
                    <w:rPr>
                      <w:rFonts w:hint="eastAsia" w:ascii="宋体" w:hAnsi="宋体" w:eastAsia="宋体" w:cs="宋体"/>
                      <w:kern w:val="0"/>
                      <w:sz w:val="18"/>
                      <w:szCs w:val="18"/>
                      <w:lang w:val="en-US" w:eastAsia="zh-CN" w:bidi="ar"/>
                    </w:rPr>
                    <w:fldChar w:fldCharType="end"/>
                  </w:r>
                </w:p>
              </w:tc>
            </w:tr>
            <w:tr>
              <w:tblPrEx>
                <w:shd w:val="clear"/>
                <w:tblLayout w:type="fixed"/>
                <w:tblCellMar>
                  <w:top w:w="0" w:type="dxa"/>
                  <w:left w:w="0" w:type="dxa"/>
                  <w:bottom w:w="0" w:type="dxa"/>
                  <w:right w:w="0" w:type="dxa"/>
                </w:tblCellMar>
              </w:tblPrEx>
              <w:trPr>
                <w:tblCellSpacing w:w="0" w:type="dxa"/>
                <w:jc w:val="center"/>
              </w:trPr>
              <w:tc>
                <w:tcPr>
                  <w:tcW w:w="10500" w:type="dxa"/>
                  <w:shd w:val="clear"/>
                  <w:tcMar>
                    <w:top w:w="150" w:type="dxa"/>
                  </w:tcMar>
                  <w:vAlign w:val="top"/>
                </w:tcPr>
                <w:p>
                  <w:pPr>
                    <w:keepNext w:val="0"/>
                    <w:keepLines w:val="0"/>
                    <w:widowControl/>
                    <w:suppressLineNumbers w:val="0"/>
                    <w:pBdr>
                      <w:top w:val="none" w:color="auto" w:sz="0" w:space="0"/>
                    </w:pBdr>
                    <w:spacing w:line="320" w:lineRule="atLeast"/>
                    <w:jc w:val="left"/>
                    <w:rPr>
                      <w:rFonts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市内六区、环城四区房管局，各有关单位：</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为贯彻落实市政府《关于印发天津市限价商品住房管理暂行办法的通知》（津政发〔2008〕39号），做好限价商品住房申请审核及销售管理等工作，现就有关问题通知如下：</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一、关于年收入线标准</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根据市统计局公布的有关数据，限价商品住房申请人家庭人均年收入线标准为2.5万元。</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二、关于申请人家庭户籍、人口及住房的认定</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（一）家庭户籍和人口的认定</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申请人户籍和家庭人口条件为：具有本市中心城区（外环线以内）非农业户籍3年以上且家庭人口在2人(含)以上。</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申请人是否为本市中心城区（外环线以内）非农业户籍3年以上，以申请人户口簿为准。其中的非农业户籍包括非农业常住户口、蓝印户口和因就业在本市中心城区（外环线以内）落户的单位城镇户籍集体户口，不包括因上学、服兵役在津落户的集体户口。</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申请人家庭成员按申请人、申请人配偶及其未成年子女确定。申请人孙子女或外孙子女父母双亡，且由申请人作为其监护人的，可将孙子女或外孙子女作为家庭人口计算。</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计算家庭人口的申请人家庭成员须具有本市常住户口，其中包括因上学、服兵役暂时在异地落有集体户口的家庭成员。</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申请人申请购买限价商品住房时，除按《天津市限价商品住房管理暂行办法》规定携带相应要件外，具有以下情况的还需提供相应证件：</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1.申请人与配偶未在同一户口簿。</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（1）申请人已婚的，需提供配偶户口簿及民政部门颁发的《结婚证》的原件和复印件。</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（2）申请人与配偶离异且在申请人户口簿上未显示的，需提供民政部门颁发的《离婚证》或法院判决书的原件和复印件。</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（3）申请人丧偶且在申请人户口簿上未显示的，须提供申请人配偶死亡证明。</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2.申请人与未成年子女或计算家庭人口的孙子女或外孙子女未在同一户口簿的，需提供未成年子女或孙子女或外孙子女户口簿。</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3.申请人及其家庭成员具有本市中心城区（外环线以内）非农业户籍在3年以上，但由于户籍迁移而在新落户地落户不足3年的，须提供公安户籍管理部门出具的相关证明。</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以上证件由受理申请部门进行核对，原件与复印件一致的，退回原件留存复印件。</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（二）家庭住房的认定</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申请人家庭住房条件为：家庭无私产住房且未承租公有住房。其中私产住房包括拥有权属证明的私产住房、已签定房屋买卖合同尚未办理权属证明的已购私产住房及自建房；公有住房包括租赁双方建立正式租赁关系的公有住房，以及形成事实租赁但尚未建立正式租赁关系的公有住房。</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2008年1月1日之后，申请人家庭成员将原有私产住房出售、赠与他人或将原承租公有住房置换的仍认定为申请家庭住房。</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三、关于申请受理工作</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自2008年5月1日起，各区房地产管理局（以下简称“区房管局”）开始受理限价商品住房申请。各区房管局应设申请受理窗口，做好申请受理工作；在申请受理过程中，要认真做好信访登记，对政策有疑义或受理中出现的新情况、新问题，要及时向市国土资源和房屋管理局（以下简称“市国土房管局”）反馈。</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四、关于限价商品住房申请建档工作</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各区房管局要建立限价商品住房申请档案，实行一户一档。纸质档案内容包括《天津市限价商品住房购买申请审核表》（附件1）、《家庭收入核查单》（附件2）、《天津市限价商品住房购买资格证明》（存根,附件3）及申请家庭提供的所有其它证明材料，不符合条件的还包括《不符合限价商品住房购买条件通知书》（存根、附件4）。</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限价商品住房在实行纸质档案管理的同时通过网络管理。各区房管局要按要求登录《天津市保障性住房管理系统》的“限价商品房”系统，及时上传相关信息，并做好网络安全防护，确保数据信息完整、安全。</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五、关于网上管理系统使用要求</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为了做好限价商品住房申请审核及销售管理工作，各区房管局及限价商品住房开发单位要及时将相关信息录入《天津市保障性住房管理系统》的“限价商品房”子系统。各区房管局查验申请人材料后5日内，登陆“限价商品房”子系统，填写其申请信息。各开发企业可登陆“限价商品房”子系统，核对选购限价商品住房的家庭所持《天津市限价商品住房购买资格证明》的真实性。各开发企业在与购房人签订限价商品住房买卖合同5日内，要将合同编号、房屋地点、面积、房款、合同签订时间等信息录入到“限价商品房”子系统。</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六、关于建立限价商品住房定期报表制度</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为加强限价商品住房销售管理，及时掌握限价商品住房购买资格证明发放数量、住房销售量等情况，建立限价商品住房定期报表制度。</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各区房管局要于每月5日前登陆《天津市保障性住房管理系统》的“限价商品房”子系统，生成本区上月《〈天津市限价商品住房购买资格证明〉发放情况月报表》（附件5），网上上报市国土房管局。</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各限价商品住房开发单位要于每月5日前，登陆《天津市保障性住房管理系统》的“限价商品房”子系统，生成本单位上月《限价商品住房销售情况月报表》（附件6）和《限价商品住房销售情况明细表》（附件7），网上上报市国土房管局；同时打印出纸质文件，经审核人签字，并加盖填报单位公章后报市国土房管局。</w:t>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各报表单位应明确报表责任人，保证报表数字准确、上报及时。报表需经单位负责人审核。</w:t>
                  </w:r>
                  <w:r>
                    <w:rPr>
                      <w:rFonts w:hint="default" w:ascii="仿宋_GB2312" w:hAnsi="宋体" w:eastAsia="仿宋_GB2312" w:cs="仿宋_GB2312"/>
                      <w:kern w:val="0"/>
                      <w:sz w:val="32"/>
                      <w:szCs w:val="32"/>
                      <w:lang w:val="en-US" w:eastAsia="zh-CN" w:bidi="ar"/>
                    </w:rPr>
                    <w:br w:type="textWrapping"/>
                  </w:r>
                  <w:r>
                    <w:rPr>
                      <w:rFonts w:hint="default" w:ascii="仿宋_GB2312" w:hAnsi="宋体" w:eastAsia="仿宋_GB2312" w:cs="仿宋_GB2312"/>
                      <w:kern w:val="0"/>
                      <w:sz w:val="32"/>
                      <w:szCs w:val="32"/>
                      <w:lang w:val="en-US" w:eastAsia="zh-CN" w:bidi="ar"/>
                    </w:rPr>
                    <w:t>附件： </w:t>
                  </w:r>
                  <w:r>
                    <w:rPr>
                      <w:rFonts w:hint="default" w:ascii="仿宋_GB2312" w:hAnsi="宋体" w:eastAsia="仿宋_GB2312" w:cs="仿宋_GB2312"/>
                      <w:kern w:val="0"/>
                      <w:sz w:val="32"/>
                      <w:szCs w:val="32"/>
                      <w:lang w:val="en-US" w:eastAsia="zh-CN" w:bidi="ar"/>
                    </w:rPr>
                    <w:br w:type="textWrapping"/>
                  </w:r>
                  <w:r>
                    <w:rPr>
                      <w:rFonts w:hint="default" w:ascii="仿宋_GB2312" w:hAnsi="宋体" w:eastAsia="仿宋_GB2312" w:cs="仿宋_GB2312"/>
                      <w:kern w:val="0"/>
                      <w:sz w:val="32"/>
                      <w:szCs w:val="32"/>
                      <w:lang w:val="en-US" w:eastAsia="zh-CN" w:bidi="ar"/>
                    </w:rPr>
                    <w:t>1.</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"http://www.tjfgnet.gov.cn/Documents/%E9%99%84%E4%BB%B61.doc"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天津市限价商品住房购买申请审核表</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2.</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"http://www.tjfgnet.gov.cn/Documents/%E9%99%84%E4%BB%B62.doc"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家庭收入核查单</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3.</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"http://www.tjfgnet.gov.cn/Documents/%E9%99%84%E4%BB%B63.doc"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天津市限价商品住房购买资格证明</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4.</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"http://www.tjfgnet.gov.cn/Documents/%E9%99%84%E4%BB%B64.doc"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不符合限价商品住房购买条件通知书</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5.</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"http://www.tjfgnet.gov.cn/Documents/%E9%99%84%E4%BB%B65.doc"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《天津市限价商品住房购买资格证明》发放情况</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6.</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"http://www.tjfgnet.gov.cn/Documents/%E9%99%84%E4%BB%B66.doc"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限价商品住房销售情况月报表</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7.</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"http://www.tjfgnet.gov.cn/Documents/%E9%99%84%E4%BB%B67.doc"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限价商品住房销售情况明细表</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left"/>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8.</w:t>
                  </w:r>
                  <w:r>
                    <w:rPr>
                      <w:rFonts w:hint="default" w:ascii="仿宋_GB2312" w:hAnsi="宋体" w:eastAsia="仿宋_GB2312" w:cs="仿宋_GB2312"/>
                      <w:color w:val="003399"/>
                      <w:kern w:val="0"/>
                      <w:sz w:val="32"/>
                      <w:szCs w:val="32"/>
                      <w:u w:val="none"/>
                      <w:lang w:val="en-US" w:eastAsia="zh-CN" w:bidi="ar"/>
                    </w:rPr>
                    <w:fldChar w:fldCharType="begin"/>
                  </w:r>
                  <w:r>
                    <w:rPr>
                      <w:rFonts w:hint="default" w:ascii="仿宋_GB2312" w:hAnsi="宋体" w:eastAsia="仿宋_GB2312" w:cs="仿宋_GB2312"/>
                      <w:color w:val="003399"/>
                      <w:kern w:val="0"/>
                      <w:sz w:val="32"/>
                      <w:szCs w:val="32"/>
                      <w:u w:val="none"/>
                      <w:lang w:val="en-US" w:eastAsia="zh-CN" w:bidi="ar"/>
                    </w:rPr>
                    <w:instrText xml:space="preserve"> HYPERLINK "http://www.tjfgnet.gov.cn/Documents/%E9%99%84%E4%BB%B68.doc" </w:instrText>
                  </w:r>
                  <w:r>
                    <w:rPr>
                      <w:rFonts w:hint="default" w:ascii="仿宋_GB2312" w:hAnsi="宋体" w:eastAsia="仿宋_GB2312" w:cs="仿宋_GB2312"/>
                      <w:color w:val="003399"/>
                      <w:kern w:val="0"/>
                      <w:sz w:val="32"/>
                      <w:szCs w:val="32"/>
                      <w:u w:val="none"/>
                      <w:lang w:val="en-US" w:eastAsia="zh-CN" w:bidi="ar"/>
                    </w:rPr>
                    <w:fldChar w:fldCharType="separate"/>
                  </w:r>
                  <w:r>
                    <w:rPr>
                      <w:rStyle w:val="3"/>
                      <w:rFonts w:hint="default" w:ascii="仿宋_GB2312" w:hAnsi="宋体" w:eastAsia="仿宋_GB2312" w:cs="仿宋_GB2312"/>
                      <w:color w:val="003399"/>
                      <w:sz w:val="32"/>
                      <w:szCs w:val="32"/>
                      <w:u w:val="none"/>
                    </w:rPr>
                    <w:t>公示(样式)</w:t>
                  </w:r>
                  <w:r>
                    <w:rPr>
                      <w:rFonts w:hint="default" w:ascii="仿宋_GB2312" w:hAnsi="宋体" w:eastAsia="仿宋_GB2312" w:cs="仿宋_GB2312"/>
                      <w:color w:val="003399"/>
                      <w:kern w:val="0"/>
                      <w:sz w:val="32"/>
                      <w:szCs w:val="32"/>
                      <w:u w:val="none"/>
                      <w:lang w:val="en-US" w:eastAsia="zh-CN" w:bidi="ar"/>
                    </w:rPr>
                    <w:fldChar w:fldCharType="end"/>
                  </w:r>
                </w:p>
                <w:p>
                  <w:pPr>
                    <w:keepNext w:val="0"/>
                    <w:keepLines w:val="0"/>
                    <w:widowControl/>
                    <w:suppressLineNumbers w:val="0"/>
                    <w:pBdr>
                      <w:top w:val="none" w:color="auto" w:sz="0" w:space="0"/>
                    </w:pBdr>
                    <w:spacing w:line="320" w:lineRule="atLeast"/>
                    <w:jc w:val="center"/>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w:t>
                  </w:r>
                </w:p>
                <w:p>
                  <w:pPr>
                    <w:keepNext w:val="0"/>
                    <w:keepLines w:val="0"/>
                    <w:widowControl/>
                    <w:suppressLineNumbers w:val="0"/>
                    <w:pBdr>
                      <w:top w:val="none" w:color="auto" w:sz="0" w:space="0"/>
                    </w:pBdr>
                    <w:spacing w:line="320" w:lineRule="atLeast"/>
                    <w:jc w:val="center"/>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w:t>
                  </w:r>
                </w:p>
                <w:p>
                  <w:pPr>
                    <w:keepNext w:val="0"/>
                    <w:keepLines w:val="0"/>
                    <w:widowControl/>
                    <w:suppressLineNumbers w:val="0"/>
                    <w:pBdr>
                      <w:top w:val="none" w:color="auto" w:sz="0" w:space="0"/>
                    </w:pBdr>
                    <w:spacing w:line="320" w:lineRule="atLeast"/>
                    <w:jc w:val="center"/>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 </w:t>
                  </w:r>
                </w:p>
                <w:p>
                  <w:pPr>
                    <w:keepNext w:val="0"/>
                    <w:keepLines w:val="0"/>
                    <w:widowControl/>
                    <w:suppressLineNumbers w:val="0"/>
                    <w:pBdr>
                      <w:top w:val="none" w:color="auto" w:sz="0" w:space="0"/>
                    </w:pBdr>
                    <w:spacing w:line="320" w:lineRule="atLeast"/>
                    <w:jc w:val="center"/>
                    <w:rPr>
                      <w:rFonts w:hint="default" w:ascii="仿宋_GB2312" w:hAnsi="宋体" w:eastAsia="仿宋_GB2312" w:cs="仿宋_GB2312"/>
                      <w:sz w:val="32"/>
                      <w:szCs w:val="32"/>
                    </w:rPr>
                  </w:pPr>
                  <w:r>
                    <w:rPr>
                      <w:rFonts w:hint="default" w:ascii="仿宋_GB2312" w:hAnsi="宋体" w:eastAsia="仿宋_GB2312" w:cs="仿宋_GB2312"/>
                      <w:kern w:val="0"/>
                      <w:sz w:val="32"/>
                      <w:szCs w:val="32"/>
                      <w:lang w:val="en-US" w:eastAsia="zh-CN" w:bidi="ar"/>
                    </w:rPr>
                    <w:t>二〇〇八年四月二十日</w:t>
                  </w:r>
                </w:p>
              </w:tc>
            </w:tr>
          </w:tbl>
          <w:p>
            <w:pPr>
              <w:jc w:val="center"/>
              <w:rPr>
                <w:rFonts w:hint="eastAsia" w:ascii="宋体" w:hAnsi="宋体" w:eastAsia="宋体" w:cs="宋体"/>
                <w:b w:val="0"/>
                <w:i w:val="0"/>
                <w:caps w:val="0"/>
                <w:color w:val="000000"/>
                <w:spacing w:val="0"/>
                <w:sz w:val="18"/>
                <w:szCs w:val="18"/>
              </w:rPr>
            </w:pPr>
          </w:p>
        </w:tc>
        <w:tc>
          <w:tcPr>
            <w:tcW w:w="182" w:type="dxa"/>
            <w:vMerge w:val="continue"/>
            <w:shd w:val="clear" w:color="auto" w:fill="FFFFFF"/>
            <w:vAlign w:val="center"/>
          </w:tcPr>
          <w:p>
            <w:pPr>
              <w:rPr>
                <w:rFonts w:hint="eastAsia" w:ascii="宋体" w:hAnsi="宋体" w:eastAsia="宋体" w:cs="宋体"/>
                <w:b w:val="0"/>
                <w:i w:val="0"/>
                <w:caps w:val="0"/>
                <w:color w:val="000000"/>
                <w:spacing w:val="0"/>
                <w:sz w:val="18"/>
                <w:szCs w:val="18"/>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872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tjfgnet.gov.cn:8084/_layouts/images/fanggaiwang/more/xinwenjujiaor5_c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2016-08-16T14:18:45Z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