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</w:pPr>
      <w:r>
        <w:t>窗体顶端</w:t>
      </w:r>
    </w:p>
    <w:tbl>
      <w:tblPr>
        <w:tblW w:w="9450" w:type="dxa"/>
        <w:jc w:val="center"/>
        <w:tblCellSpacing w:w="0" w:type="dxa"/>
        <w:tblInd w:w="-57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"http://www.tj.gov.cn/zwgk/wjgz/szfwj/200906/../../../../images/tjsrmzfwj.jpg" \* MERGEFORMATINET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24425" cy="1428750"/>
                  <wp:effectExtent l="0" t="0" r="952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000000"/>
              </w:rPr>
            </w:pPr>
            <w:r>
              <w:rPr>
                <w:rStyle w:val="9"/>
                <w:rFonts w:eastAsia="宋体"/>
                <w:color w:val="000000"/>
                <w:lang w:val="en-US" w:eastAsia="zh-CN" w:bidi="ar"/>
              </w:rPr>
              <w:t>津政发〔2009〕21号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FF0000"/>
              </w:rPr>
            </w:pPr>
            <w:r>
              <w:rPr>
                <w:sz w:val="24"/>
                <w:szCs w:val="24"/>
              </w:rPr>
              <w:pict>
                <v:rect id="_x0000_i1026" o:spt="1" style="height:1.5pt;width:472.5pt;" fillcolor="#FF0000" filled="t" stroked="f" coordsize="21600,21600" o:hr="t" o:hrstd="t" o:hrnoshade="t" o:hrpct="0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818181" w:sz="8" w:space="0"/>
          <w:left w:val="single" w:color="818181" w:sz="8" w:space="0"/>
          <w:bottom w:val="single" w:color="818181" w:sz="8" w:space="0"/>
          <w:right w:val="single" w:color="818181" w:sz="8" w:space="0"/>
        </w:pBdr>
        <w:shd w:val="clear" w:fill="FFFFFF"/>
        <w:jc w:val="center"/>
        <w:rPr>
          <w:color w:val="000000"/>
        </w:rPr>
      </w:pPr>
    </w:p>
    <w:tbl>
      <w:tblPr>
        <w:tblW w:w="8306" w:type="dxa"/>
        <w:jc w:val="center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tbl>
            <w:tblPr>
              <w:tblW w:w="9000" w:type="dxa"/>
              <w:jc w:val="center"/>
              <w:tblCellSpacing w:w="15" w:type="dxa"/>
              <w:tblInd w:w="-34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color w:val="000000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36"/>
                      <w:szCs w:val="36"/>
                      <w:lang w:val="en-US" w:eastAsia="zh-CN" w:bidi="ar"/>
                    </w:rPr>
                    <w:t xml:space="preserve">关于印发天津市城乡居民基本医疗保险规定的通知 </w:t>
                  </w:r>
                </w:p>
              </w:tc>
            </w:tr>
          </w:tbl>
          <w:p>
            <w:pPr>
              <w:jc w:val="center"/>
              <w:rPr>
                <w:color w:val="00000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tbl>
            <w:tblPr>
              <w:tblW w:w="9750" w:type="dxa"/>
              <w:jc w:val="center"/>
              <w:tblCellSpacing w:w="15" w:type="dxa"/>
              <w:tblInd w:w="-72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969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600" w:lineRule="atLeast"/>
                    <w:jc w:val="left"/>
                    <w:rPr>
                      <w:rFonts w:ascii="仿宋_GB2312" w:eastAsia="仿宋_GB2312" w:cs="仿宋_GB2312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各区、县人民政府，各委、局，各直属单位：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 现将《天津市城乡居民基本医疗保险规定》印发给你们，望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遵照执行。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　　　　　　　天津市人民政府　　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　　　　　二○○九年四月十七日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</w:t>
                  </w:r>
                  <w:bookmarkStart w:id="0" w:name="_GoBack"/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天津市城乡居民基本医疗保险规定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bookmarkEnd w:id="0"/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第一章　总则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第一条　为提高城乡居民基本医疗保障水平，完善基本医疗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保险制度，健全社会医疗保障体系，促进经济发展与社会和谐，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根据国家和本市有关规定，结合本市实际，制定本规定。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 第二条　本规定适用于具有本市户籍的下列人员：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（一）农村居民；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（二）城镇非从业居民；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（三）国家和本市规定的其他人员。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第三条　城乡居民基本医疗保险制度的基本原则：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（一）筹资标准和保障水平与经济发展水平及各方承受能力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相适应，重点保障城乡居民的大病医疗需求，适当保障门诊需求，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逐步提高筹资标准和保障水平；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（二）以家庭缴费为主，政府给予适当补助；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（三）按照以收定支、收支平衡、略有结余的原则筹集基金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和支付待遇。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第四条　劳动保障行政部门主管城乡居民基本医疗保险工作。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区县人民政府负责城乡居民参保组织工作。财政部门负责城乡居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民基本医疗保险基金财政专户的管理、财政补助资金的预算管理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及基金运行的监管。卫生部门负责城乡居民就医管理服务工作，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参与基本医疗保险门诊特殊病病种的确定、诊疗项目目录、药品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目录及医用耗材、医疗服务设施目录等政策的制定。公安部门负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责参保人员户籍认定。民政部门负责低保等人员身份认定。残疾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人联合会负责重度残疾人员身份认定。教育、物价、食品药品监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管等部门按照各自的工作职责，协助做好城乡居民基本医疗保险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社会保险经办机构按照本规定负责城乡居民基本医疗保险的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经办工作。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第二章　城乡居民基本医疗保险基金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第五条　城乡居民基本医疗保险实行全市统筹，建立城乡居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民基本医疗保险基金，纳入社会保障基金财政专户，统一管理，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单独核算,并按照国家和本市有关规定对基金实施监督。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已建立新型农村合作医疗制度的区县，应改为参加城乡居民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基本医疗保险。暂不具备条件的区县可继续执行新型农村合作医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疗制度，实行区县统筹、区县管理经办，但应制定计划在一定期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限内改为参加城乡居民基本医疗保险。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第六条　城乡居民基本医疗保险基金由下列各项构成：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（一）城乡居民缴纳的基本医疗保险费；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（二）政府补助资金；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（三）社会捐助资金；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（四）其他公共资金；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（五）城乡居民基本医疗保险基金利息收入；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（六）其他收入。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城乡居民基本医疗保险基金免征税费。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第七条　城乡居民基本医疗保险基金收支的预算、决算由市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社会保险基金管理中心负责编制，经市劳动保障行政部门同意和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市财政部门审核，报市人民政府批准后执行。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 第三章　城乡居民基本医疗保险费的缴费和补助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第八条　参加城乡居民基本医疗保险的人员应当按照本规定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缴纳基本医疗保险费。政府按照规定标准给予补助。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第九条　学生、儿童筹资标准为每人每年100元（含建立学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生儿童意外伤害附加保险的保险费），其中个人缴纳50元、政府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补助50元。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重度残疾、享受低保待遇和特殊困难家庭的学生、儿童个人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不缴费，由政府全额补助。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第十条　成年居民筹资标准分为三档，由本人自愿选择，家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庭中符合参保条件的成员（不含学生、儿童）应选择同一档次的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筹资标准。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（一）每人每年560元，其中个人缴纳330元、政府补助230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（二）每人每年350元，其中个人缴纳160元、政府补助190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（三）每人每年220元，其中个人缴纳60元、政府补助160元。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重度残疾、享受低保待遇和特殊困难家庭人员以及城镇低收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入家庭60周岁以上的老年人，个人不缴费，政府按照220元缴费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档次给予全额补助。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第十一条　城乡居民参保的补助资金分别由市和区县人民政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府各承担二分之一，对财力困难的区县由市财政给予适当照顾。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城乡居民缴费补助资金管理办法另行制定。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第十二条　属于用人单位职工供养直系亲属的城乡居民，其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个人缴费部分，职工所在单位有条件的可给予适当补助。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第十三条　城乡居民基本医疗保险的缴费标准、补助标准以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及待遇标准，根据居民收入水平和医疗服务水平的变化情况作相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应调整。调整工作由市劳动保障行政部门会同市财政等有关部门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提出意见，报市人民政府批准后执行。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第四章　住院医疗保障待遇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第十四条　在一个年度内，学生、儿童发生的18万元以下的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住院医疗费，在一级医院（社区卫生服务中心）报销比例为65％；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在二级医院起付标准为300元，报销比例为60％；在三级医院起付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标准为500元，报销比例为55％。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第十五条　在一个年度内，成年居民发生的住院医疗费，按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照下列标准报销：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（一）按照560元筹资标准缴费，住院医疗费在11万元以下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的，在一级医院（社区卫生服务中心）报销比例为65％，在二级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医院报销比例为60％，在三级医院报销比例为55％。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（二）按照350元筹资标准缴费，住院医疗费在9万元以下的，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在一级医院（社区卫生服务中心）报销比例为60％，在二级医院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报销比例为55％，在三级医院报销比例为50％。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（三）按照220元筹资标准缴费，住院医疗费在7万元以下的，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在一级医院（社区卫生服务中心）报销比例为55％，在二级医院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报销比例为50％，在三级医院报销比例为45％。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在上述报销标准中，一级医院（社区卫生服务中心）不设起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付标准，二级医院起付标准为300元，三级医院起付标准为500元。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第十六条　参保的城乡居民在一个年度内住院治疗2次以上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的，从第二次住院治疗起，不再设置起付标准。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第五章　门（急）诊医疗保障待遇和其他待遇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第十七条　建立城乡居民在一级医院和社区医疗机构就医门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（急）诊大额医疗费用补助制度。在一个年度内，参保人员发生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的800元以上3000元以下的门（急）诊医疗费用，按照560元筹资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标准缴费的成年居民报销比例为40%，按照350元筹资标准缴费的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成年居民报销比例为35%，按照220元筹资标准缴费的成年居民和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学生、儿童的报销比例为30%。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第十八条　建立学生儿童意外伤害附加保险制度。凡参加城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乡居民基本医疗保险的学生、儿童，从个人缴费中按照每人每年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15元的标准筹集意外伤害附加保险资金，用于支付学生、儿童因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意外伤害发生的医疗费用以及因意外造成伤残、死亡的补助金。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具体办法另行制定。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第十九条　参保人员患有特殊病在门诊就医和按照规定设立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的家庭病床，享受本规定确定的住院医疗费报销待遇。特殊病的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管理办法另行制定。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第二十条　参保孕产妇符合计划生育政策生育子女的，其住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院分娩费用，由城乡居民基本医疗保险基金按照规定给予报销，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同时享受100元生育补助待遇。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第二十一条　符合医疗救助条件的参保人员，可在享受城乡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居民基本医疗保险待遇的基础上，按有关规定申请医疗救助。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第六章　城乡居民基本医疗保险费的征收管理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第二十二条　市和区县人民政府建立城乡居民参加基本医疗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保险工作责任制。各区县人民政府应当完善工作措施，组织实施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本区县城乡居民基本医疗保险工作。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第二十三条　各区县的街道、乡镇劳动保障服务中心及其社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区、村劳动保障工作机构负责组织参保资源调查、参保资格审核、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缴费标准认定和参保登记工作；社会保险经办机构负责基金征收、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待遇审核支付等经办工作。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第二十四条　学生、儿童以所在学校或托幼机构为单位参保，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其他居民和未入托入学的儿童以家庭为单位参保。符合城乡居民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基本医疗保险参保条件的人员应当持户口簿、居民身份证等有效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证件，到街道、乡镇劳动保障服务中心及其社区、村劳动保障工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作机构或社会保险经办机构办理参保资格认定、登记缴费等手续。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新生儿及未成年人由其法定监护人按照上述程序为其办理参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保缴费手续。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第二十五条　每年9月至12月为下一年度城乡居民参保缴费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办理期。其中，享受政府全额补助的，应在此期间办理下一年度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参保手续；其他参保的城乡居民，应在此期间办理参保手续，并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一次性缴纳下一年度基本医疗保险费。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第二十六条　城乡居民基本医疗保险费的收缴，使用社会保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险专用收据。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第七章　管理服务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第二十七条　城乡居民基本医疗保险实行定点医院与定点零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售药店管理，具体管理办法比照城镇职工基本医疗保险定点医院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和定点零售药店管理规定执行。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定点医院应尊重参保人员的知情权，在使用和提供自费的药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品、医用耗材、诊疗项目时，应事先征得患者同意，并应提供每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日医疗费用明细清单，方便患者了解费用情况。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第二十八条　城乡居民在定点医疗机构就医，应当符合国家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和本市城乡居民基本医疗保险药品目录、诊疗项目目录和医疗服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务设施目录的管理规定。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第二十九条　城乡居民就医所需基本医疗保险药品目录内非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处方药品，可以按照有关规定在定点零售药店直接购买，纳入城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乡居民基本医疗保险报销范围。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第三十条　参保人员在已经实行联网结算的定点医院发生的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医疗费用，按照联网结算管理的有关规定办理。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参保人员在尚未实行联网结算的定点医院发生的医疗费用，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先由个人垫付，出院后凭定点医院的出院证明、医疗费发票和全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部费用清单，到街道、乡镇劳动保障服务中心登记，归集报销资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料，统一交社会保险经办机构审核结算。社会保险经办机构应在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规定的时间内结算完毕，并按规定支付报销的医疗费用。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社会保险经办机构在经办工作中应当尊重和维护参保患者的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疾病隐私权。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第三十一条　参保人员就医时，应出示市劳动保障行政部门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制发的社会保障卡。社会保障卡管理办法另行制定。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第三十二条　社会保险经办机构应当与定点医院、定点零售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药店签订服务协议，并按规定实行科学的医疗费用结算办法。签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订的服务协议和医疗费用结算办法应向市劳动保障行政部门和市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财政部门备案，接受监督。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第三十三条　社会保险经办机构与定点医院、定点零售药店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因履行、变更服务协议发生争议的，由医疗保险争议处理机构调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解处理。医疗保险争议处理机构由市劳动保障行政部门、市财政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部门、市卫生行政部门、市食品药品监管部门的代表和有关专家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组成，办事机构设在市劳动保障行政部门。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第三十四条　参保人员发生的下列费用，城乡居民基本医疗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保险基金不予支付：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（一）在非定点医疗机构发生的医疗费用；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（二）不属于城乡居民基本医疗保险药品目录、诊疗项目目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录和医疗服务设施目录支付的费用；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（三）因违法违规驾车肇事发生的医疗费用，打架斗殴、吸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食或注射毒品以及犯罪发生的医疗费用；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（四）自杀、自残所发生的医疗费用；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（五）在境外和国外发生的医疗费用；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（六）因医疗事故或民事、刑事伤害发生的医疗费用；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（七）国家和本市规定不予支付的其他费用。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第三十五条　建立城乡居民基本医疗保险诚信制度。参保人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员、定点医院、定点零售药店和社会保险经办机构应当遵守市劳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动保障行政部门制定的城乡居民基本医疗保险诚信建设标准，规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范参与城乡居民基本医疗保险的行为，履行医疗保险诚信义务。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第八章　监督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第三十六条　参加城乡居民基本医疗保险的人员不得有下列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行为：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（一）将本人身份证明及医疗保险凭证转借他人就医；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（二）冒用他人身份证明或社会保障卡就医；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（三）伪造、变造病历、处方、疾病诊断证明和医疗费票据；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（四）伪造、变造有关证明材料参加城乡居民基本医疗保险；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（五）其他违反城乡居民基本医疗保险规定的行为。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第三十七条　定点医院或定点零售药店不得有下列行为：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（一）允许或诱导非参保人员以参保人员名义就医；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（二）允许使用城乡居民基本医疗保险基金支付应当由参保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人员自己负担的医疗费用；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（三）通过伪造、变造的手段将保健品、化妆品及其他用品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纳入城乡居民基本医疗保险报销范围；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（四）提供虚假疾病诊断证明、病历、处方和医疗费票据等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资料；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（五）向参保人员提供不必要的医疗服务和过度医疗服务；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（六）转借POS机（服务终端）给非定点单位使用；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（七）倒卖基本医疗保险票据；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（八）不执行物价部门定价标准，造成城乡居民基本医疗保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险基金损失；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（九）其他违反城乡居民基本医疗保险规定的行为。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第三十八条　劳动保障行政部门或者社会保险经办机构的工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作人员违反规定为参保人员、定点医院和定点零售药店谋取私利，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造成城乡居民基本医疗保险基金损失的，按照有关法律、法规的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规定依法追究其行政、经济和刑事责任。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第三十九条　参保人员、定点医院和定点零售药店对劳动保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障行政部门的处理决定不服的，可依法向其上级机关申请行政复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议或直接提起行政诉讼；对社会保险经办机构的经办行为有异议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的，可以向其上级劳动保障行政部门投诉。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第九章　附则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第四十条　本规定自2010年1月1日起施行。2007年9月17日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市人民政府《关于印发天津市城镇居民基本医疗保险暂行规定的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通知》（津政发〔2007〕64号）同时废止。2010年度城乡居民参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保缴费工作自2009年9月1日开始实施。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主题词：劳动　社会保障　医疗　保险　规定　通知</w:t>
                  </w:r>
                </w:p>
              </w:tc>
            </w:tr>
          </w:tbl>
          <w:p>
            <w:pPr>
              <w:spacing w:before="0" w:beforeAutospacing="0" w:after="0" w:afterAutospacing="0" w:line="600" w:lineRule="atLeast"/>
              <w:ind w:left="0" w:right="0"/>
              <w:rPr>
                <w:color w:val="000000"/>
              </w:rPr>
            </w:pPr>
          </w:p>
        </w:tc>
      </w:tr>
    </w:tbl>
    <w:p>
      <w:pPr>
        <w:pStyle w:val="8"/>
      </w:pPr>
      <w:r>
        <w:t>窗体底端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36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2255BD"/>
      <w:sz w:val="18"/>
      <w:szCs w:val="18"/>
      <w:u w:val="none"/>
    </w:rPr>
  </w:style>
  <w:style w:type="character" w:styleId="5">
    <w:name w:val="Hyperlink"/>
    <w:basedOn w:val="3"/>
    <w:uiPriority w:val="0"/>
    <w:rPr>
      <w:color w:val="2255BD"/>
      <w:sz w:val="18"/>
      <w:szCs w:val="18"/>
      <w:u w:val="non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9">
    <w:name w:val="fontwh1"/>
    <w:basedOn w:val="3"/>
    <w:uiPriority w:val="0"/>
    <w:rPr>
      <w:rFonts w:ascii="Verdana" w:hAnsi="Verdana" w:cs="Verdana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tj.gov.cn/zwgk/wjgz/szfwj/200906/../../../../images/tjsrmzfwj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2016-08-16T13:56:42Z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