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B6402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6"/>
        </w:rPr>
      </w:pPr>
      <w:r w:rsidRPr="00453F3F">
        <w:rPr>
          <w:rFonts w:ascii="Berlin Sans FB" w:eastAsia="Berlin Sans FB" w:hAnsi="Berlin Sans FB" w:cs="Berlin Sans FB"/>
          <w:b/>
          <w:sz w:val="28"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CB6402">
        <w:rPr>
          <w:rFonts w:ascii="Berlin Sans FB" w:eastAsia="Berlin Sans FB" w:hAnsi="Berlin Sans FB" w:cs="Berlin Sans FB"/>
          <w:b/>
          <w:sz w:val="18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A20D7" w:rsidRPr="00FA20D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, le </w:t>
      </w:r>
      <w:proofErr w:type="gramStart"/>
      <w:r w:rsidRPr="00FA20D7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F22957" w:rsidRPr="00F22957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CB6402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6"/>
          <w:szCs w:val="25"/>
          <w:lang w:eastAsia="en-US"/>
        </w:rPr>
      </w:pPr>
    </w:p>
    <w:p w:rsidR="006A423C" w:rsidRPr="00FA20D7" w:rsidRDefault="00F22957" w:rsidP="00453F3F">
      <w:pPr>
        <w:spacing w:after="0" w:line="360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FA20D7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………………………………………………………..,</w:t>
      </w:r>
      <w:proofErr w:type="gramEnd"/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</w:t>
      </w:r>
      <w:r w:rsidR="001E4CF7">
        <w:rPr>
          <w:rFonts w:ascii="Tahoma" w:eastAsia="Calibri" w:hAnsi="Tahoma" w:cs="Tahoma"/>
          <w:color w:val="auto"/>
          <w:szCs w:val="25"/>
          <w:lang w:eastAsia="en-US"/>
        </w:rPr>
        <w:t>Conseil d’Etat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6A423C" w:rsidRPr="00CB6402" w:rsidRDefault="006A423C" w:rsidP="006A423C">
      <w:pPr>
        <w:spacing w:after="0" w:line="259" w:lineRule="auto"/>
        <w:ind w:left="1418" w:firstLine="0"/>
        <w:jc w:val="left"/>
        <w:rPr>
          <w:sz w:val="10"/>
        </w:rPr>
      </w:pPr>
      <w:r w:rsidRPr="00CB6402">
        <w:rPr>
          <w:sz w:val="22"/>
        </w:rPr>
        <w:t xml:space="preserve"> </w:t>
      </w:r>
    </w:p>
    <w:p w:rsidR="003323FB" w:rsidRPr="00504AFF" w:rsidRDefault="003323FB" w:rsidP="00BC0C35">
      <w:pPr>
        <w:spacing w:after="0" w:line="240" w:lineRule="auto"/>
        <w:ind w:firstLine="841"/>
        <w:rPr>
          <w:sz w:val="25"/>
          <w:szCs w:val="25"/>
          <w:u w:val="single"/>
        </w:rPr>
      </w:pPr>
      <w:r w:rsidRPr="003323FB">
        <w:rPr>
          <w:rFonts w:ascii="Tahoma" w:hAnsi="Tahoma" w:cs="Tahoma"/>
          <w:b/>
          <w:sz w:val="25"/>
          <w:szCs w:val="25"/>
          <w:u w:val="single"/>
        </w:rPr>
        <w:t>Ai signifié à</w:t>
      </w:r>
      <w:r w:rsidRPr="00504AFF">
        <w:rPr>
          <w:b/>
          <w:sz w:val="25"/>
          <w:szCs w:val="25"/>
        </w:rPr>
        <w:t xml:space="preserve"> :</w:t>
      </w:r>
    </w:p>
    <w:p w:rsidR="003323FB" w:rsidRPr="009A0B9C" w:rsidRDefault="003323FB" w:rsidP="003323FB">
      <w:pPr>
        <w:spacing w:after="0" w:line="240" w:lineRule="auto"/>
        <w:rPr>
          <w:sz w:val="4"/>
          <w:szCs w:val="24"/>
        </w:rPr>
      </w:pPr>
    </w:p>
    <w:p w:rsidR="003323FB" w:rsidRPr="001E4CF7" w:rsidRDefault="003323FB" w:rsidP="003323FB">
      <w:pPr>
        <w:pStyle w:val="Paragraphedeliste"/>
        <w:spacing w:after="0" w:line="276" w:lineRule="auto"/>
        <w:rPr>
          <w:sz w:val="10"/>
          <w:szCs w:val="25"/>
        </w:rPr>
      </w:pPr>
    </w:p>
    <w:p w:rsidR="003323FB" w:rsidRPr="00562E0E" w:rsidRDefault="003323FB" w:rsidP="003323FB">
      <w:pPr>
        <w:pStyle w:val="Paragraphedeliste"/>
        <w:spacing w:line="276" w:lineRule="auto"/>
        <w:rPr>
          <w:rFonts w:eastAsia="Calibri"/>
          <w:sz w:val="2"/>
          <w:szCs w:val="25"/>
        </w:rPr>
      </w:pPr>
      <w:r>
        <w:rPr>
          <w:rFonts w:eastAsia="Calibri"/>
          <w:sz w:val="25"/>
          <w:szCs w:val="25"/>
        </w:rPr>
        <w:t xml:space="preserve"> </w:t>
      </w:r>
      <w:r>
        <w:rPr>
          <w:rFonts w:eastAsia="Calibri"/>
          <w:b/>
          <w:sz w:val="25"/>
          <w:szCs w:val="25"/>
          <w:u w:val="single"/>
        </w:rPr>
        <w:t xml:space="preserve"> </w:t>
      </w:r>
    </w:p>
    <w:p w:rsidR="00152BC3" w:rsidRPr="00504AFF" w:rsidRDefault="00152BC3" w:rsidP="00BC0C35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sz w:val="25"/>
          <w:szCs w:val="25"/>
          <w:u w:val="single"/>
        </w:rPr>
        <w:t>M</w:t>
      </w:r>
      <w:r w:rsidRPr="00453F3F">
        <w:rPr>
          <w:rFonts w:eastAsia="Calibri"/>
          <w:b/>
          <w:sz w:val="26"/>
          <w:szCs w:val="26"/>
          <w:u w:val="single"/>
        </w:rPr>
        <w:t>onsieu</w:t>
      </w:r>
      <w:r>
        <w:rPr>
          <w:rFonts w:eastAsia="Calibri"/>
          <w:b/>
          <w:sz w:val="25"/>
          <w:szCs w:val="25"/>
          <w:u w:val="single"/>
        </w:rPr>
        <w:t xml:space="preserve">r </w:t>
      </w:r>
      <w:r w:rsidR="00F17025">
        <w:rPr>
          <w:rFonts w:eastAsia="Calibri"/>
          <w:b/>
          <w:sz w:val="25"/>
          <w:szCs w:val="25"/>
          <w:u w:val="single"/>
        </w:rPr>
        <w:t>Christian KALUME TUTU</w:t>
      </w:r>
      <w:r w:rsidRPr="00152BC3">
        <w:rPr>
          <w:rFonts w:eastAsia="Calibri"/>
          <w:b/>
          <w:sz w:val="25"/>
          <w:szCs w:val="25"/>
        </w:rPr>
        <w:t xml:space="preserve">, </w:t>
      </w:r>
      <w:r w:rsidR="00F17025">
        <w:rPr>
          <w:rFonts w:ascii="Tahoma" w:eastAsia="Calibri" w:hAnsi="Tahoma" w:cs="Tahoma"/>
          <w:szCs w:val="25"/>
        </w:rPr>
        <w:t>domicilié à l’Immeuble LAPEPITHI, 2</w:t>
      </w:r>
      <w:r w:rsidR="00F17025" w:rsidRPr="00F17025">
        <w:rPr>
          <w:rFonts w:ascii="Tahoma" w:eastAsia="Calibri" w:hAnsi="Tahoma" w:cs="Tahoma"/>
          <w:szCs w:val="25"/>
          <w:vertAlign w:val="superscript"/>
        </w:rPr>
        <w:t>ème</w:t>
      </w:r>
      <w:r w:rsidR="00F17025">
        <w:rPr>
          <w:rFonts w:ascii="Tahoma" w:eastAsia="Calibri" w:hAnsi="Tahoma" w:cs="Tahoma"/>
          <w:szCs w:val="25"/>
        </w:rPr>
        <w:t xml:space="preserve"> étage, Appartement 4, sis au n°8053 de l’avenue </w:t>
      </w:r>
      <w:proofErr w:type="spellStart"/>
      <w:r w:rsidR="00F17025">
        <w:rPr>
          <w:rFonts w:ascii="Tahoma" w:eastAsia="Calibri" w:hAnsi="Tahoma" w:cs="Tahoma"/>
          <w:szCs w:val="25"/>
        </w:rPr>
        <w:t>Tabu</w:t>
      </w:r>
      <w:proofErr w:type="spellEnd"/>
      <w:r w:rsidR="00F17025">
        <w:rPr>
          <w:rFonts w:ascii="Tahoma" w:eastAsia="Calibri" w:hAnsi="Tahoma" w:cs="Tahoma"/>
          <w:szCs w:val="25"/>
        </w:rPr>
        <w:t xml:space="preserve"> </w:t>
      </w:r>
      <w:proofErr w:type="spellStart"/>
      <w:r w:rsidR="00F17025">
        <w:rPr>
          <w:rFonts w:ascii="Tahoma" w:eastAsia="Calibri" w:hAnsi="Tahoma" w:cs="Tahoma"/>
          <w:szCs w:val="25"/>
        </w:rPr>
        <w:t>Ley</w:t>
      </w:r>
      <w:proofErr w:type="spellEnd"/>
      <w:r w:rsidR="00F17025">
        <w:rPr>
          <w:rFonts w:ascii="Tahoma" w:eastAsia="Calibri" w:hAnsi="Tahoma" w:cs="Tahoma"/>
          <w:szCs w:val="25"/>
        </w:rPr>
        <w:t xml:space="preserve">, croisement boulevard du 30 juin et des Bâtonniers, à Kinshasa/Gombe </w:t>
      </w:r>
      <w:r>
        <w:rPr>
          <w:rFonts w:ascii="Tahoma" w:eastAsia="Calibri" w:hAnsi="Tahoma" w:cs="Tahoma"/>
          <w:szCs w:val="25"/>
        </w:rPr>
        <w:t>;</w:t>
      </w:r>
    </w:p>
    <w:p w:rsidR="00152BC3" w:rsidRPr="004A463F" w:rsidRDefault="00152BC3" w:rsidP="00152BC3">
      <w:pPr>
        <w:pStyle w:val="Paragraphedeliste"/>
        <w:spacing w:line="276" w:lineRule="auto"/>
        <w:ind w:left="993" w:right="-852" w:firstLine="0"/>
        <w:rPr>
          <w:rFonts w:eastAsia="Calibri"/>
          <w:sz w:val="10"/>
          <w:szCs w:val="25"/>
        </w:rPr>
      </w:pPr>
    </w:p>
    <w:p w:rsidR="003323FB" w:rsidRPr="00BE489B" w:rsidRDefault="00152BC3" w:rsidP="00BC0C35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sz w:val="25"/>
          <w:szCs w:val="25"/>
          <w:u w:val="single"/>
        </w:rPr>
        <w:t>L</w:t>
      </w:r>
      <w:r w:rsidR="003323FB">
        <w:rPr>
          <w:rFonts w:eastAsia="Calibri"/>
          <w:b/>
          <w:sz w:val="25"/>
          <w:szCs w:val="25"/>
          <w:u w:val="single"/>
        </w:rPr>
        <w:t xml:space="preserve">e </w:t>
      </w:r>
      <w:r w:rsidR="005A3A81">
        <w:rPr>
          <w:rFonts w:eastAsia="Calibri"/>
          <w:b/>
          <w:sz w:val="25"/>
          <w:szCs w:val="25"/>
          <w:u w:val="single"/>
        </w:rPr>
        <w:t>Barreau de Kinshasa/Gombe</w:t>
      </w:r>
      <w:r w:rsidR="003323FB" w:rsidRPr="00504AFF">
        <w:rPr>
          <w:rFonts w:eastAsia="Calibri"/>
          <w:b/>
          <w:sz w:val="25"/>
          <w:szCs w:val="25"/>
        </w:rPr>
        <w:t>,</w:t>
      </w:r>
      <w:r w:rsidR="003323FB" w:rsidRPr="00504AFF">
        <w:rPr>
          <w:rFonts w:eastAsia="Calibri"/>
          <w:b/>
          <w:szCs w:val="24"/>
        </w:rPr>
        <w:t xml:space="preserve"> </w:t>
      </w:r>
      <w:r w:rsidR="004A4A18">
        <w:rPr>
          <w:rFonts w:ascii="Tahoma" w:eastAsia="Calibri" w:hAnsi="Tahoma" w:cs="Tahoma"/>
          <w:szCs w:val="24"/>
        </w:rPr>
        <w:t>dont  le siège est établi au Rez-de-chaussée du Nouveau Palais de la Justice</w:t>
      </w:r>
      <w:r w:rsidR="00FC0CCD">
        <w:rPr>
          <w:rFonts w:ascii="Tahoma" w:eastAsia="Calibri" w:hAnsi="Tahoma" w:cs="Tahoma"/>
          <w:szCs w:val="24"/>
        </w:rPr>
        <w:t>, situé au croisement des av</w:t>
      </w:r>
      <w:r w:rsidR="004A463F">
        <w:rPr>
          <w:rFonts w:ascii="Tahoma" w:eastAsia="Calibri" w:hAnsi="Tahoma" w:cs="Tahoma"/>
          <w:szCs w:val="24"/>
        </w:rPr>
        <w:t>e</w:t>
      </w:r>
      <w:r w:rsidR="00FC0CCD">
        <w:rPr>
          <w:rFonts w:ascii="Tahoma" w:eastAsia="Calibri" w:hAnsi="Tahoma" w:cs="Tahoma"/>
          <w:szCs w:val="24"/>
        </w:rPr>
        <w:t xml:space="preserve">nues </w:t>
      </w:r>
      <w:proofErr w:type="spellStart"/>
      <w:r w:rsidR="00FC0CCD">
        <w:rPr>
          <w:rFonts w:ascii="Tahoma" w:eastAsia="Calibri" w:hAnsi="Tahoma" w:cs="Tahoma"/>
          <w:szCs w:val="24"/>
        </w:rPr>
        <w:t>Pumbu</w:t>
      </w:r>
      <w:proofErr w:type="spellEnd"/>
      <w:r w:rsidR="00FC0CCD">
        <w:rPr>
          <w:rFonts w:ascii="Tahoma" w:eastAsia="Calibri" w:hAnsi="Tahoma" w:cs="Tahoma"/>
          <w:szCs w:val="24"/>
        </w:rPr>
        <w:t xml:space="preserve"> et des Bâtonniers, à Kinshasa/Gombe </w:t>
      </w:r>
      <w:r w:rsidR="003323FB" w:rsidRPr="00504AFF">
        <w:rPr>
          <w:rFonts w:eastAsia="Calibri"/>
          <w:szCs w:val="24"/>
        </w:rPr>
        <w:t>;</w:t>
      </w:r>
    </w:p>
    <w:p w:rsidR="003323FB" w:rsidRPr="001E4CF7" w:rsidRDefault="003323FB" w:rsidP="003323FB">
      <w:pPr>
        <w:pStyle w:val="Paragraphedeliste"/>
        <w:spacing w:line="276" w:lineRule="auto"/>
        <w:ind w:left="993"/>
        <w:rPr>
          <w:rFonts w:eastAsia="Calibri"/>
          <w:sz w:val="10"/>
          <w:szCs w:val="25"/>
        </w:rPr>
      </w:pPr>
    </w:p>
    <w:p w:rsidR="005A3A81" w:rsidRPr="00CB6402" w:rsidRDefault="005A3A81" w:rsidP="00CB6402">
      <w:pPr>
        <w:pStyle w:val="Paragraphedeliste"/>
        <w:numPr>
          <w:ilvl w:val="0"/>
          <w:numId w:val="12"/>
        </w:numPr>
        <w:spacing w:line="276" w:lineRule="auto"/>
        <w:ind w:left="851" w:right="-710" w:hanging="425"/>
        <w:rPr>
          <w:rFonts w:eastAsia="Calibri"/>
          <w:sz w:val="25"/>
          <w:szCs w:val="25"/>
        </w:rPr>
      </w:pPr>
      <w:r w:rsidRPr="00CB6402">
        <w:rPr>
          <w:rFonts w:eastAsia="Calibri"/>
          <w:b/>
          <w:sz w:val="26"/>
          <w:szCs w:val="26"/>
          <w:u w:val="single"/>
        </w:rPr>
        <w:t>La République Démocratique du Congo</w:t>
      </w:r>
      <w:r w:rsidRPr="00CB6402">
        <w:rPr>
          <w:rFonts w:eastAsia="Calibri"/>
          <w:b/>
          <w:sz w:val="25"/>
          <w:szCs w:val="25"/>
        </w:rPr>
        <w:t>,</w:t>
      </w:r>
      <w:r w:rsidRPr="00CB6402">
        <w:rPr>
          <w:rFonts w:ascii="Tahoma" w:eastAsia="Calibri" w:hAnsi="Tahoma" w:cs="Tahoma"/>
          <w:b/>
          <w:szCs w:val="25"/>
        </w:rPr>
        <w:t xml:space="preserve"> </w:t>
      </w:r>
      <w:r w:rsidRPr="00CB6402">
        <w:rPr>
          <w:rFonts w:ascii="Tahoma" w:eastAsia="Calibri" w:hAnsi="Tahoma" w:cs="Tahoma"/>
          <w:szCs w:val="25"/>
        </w:rPr>
        <w:t>prise en la personne de Monsieur le Ministre d’Etat, Ministre de la Justice et Garde des Sceaux, dont les bureaux sont situés au Palais de la justice, à Kinshasa/Gombe ;</w:t>
      </w:r>
    </w:p>
    <w:p w:rsidR="005E597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6"/>
          <w:szCs w:val="25"/>
          <w:lang w:eastAsia="en-US"/>
        </w:rPr>
      </w:pPr>
    </w:p>
    <w:p w:rsidR="00D44A2C" w:rsidRPr="00B36F0E" w:rsidRDefault="00D44A2C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4"/>
          <w:szCs w:val="25"/>
          <w:lang w:eastAsia="en-US"/>
        </w:rPr>
      </w:pPr>
    </w:p>
    <w:p w:rsidR="005E5972" w:rsidRDefault="005E5972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Pr="00CB6402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6"/>
          <w:szCs w:val="25"/>
          <w:lang w:eastAsia="en-US"/>
        </w:rPr>
      </w:pPr>
    </w:p>
    <w:p w:rsidR="004A6FCC" w:rsidRPr="001E4CF7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8"/>
          <w:szCs w:val="25"/>
          <w:lang w:eastAsia="en-US"/>
        </w:rPr>
      </w:pPr>
    </w:p>
    <w:p w:rsidR="002924FD" w:rsidRPr="00A317F7" w:rsidRDefault="004D376A" w:rsidP="00D44A2C">
      <w:pPr>
        <w:spacing w:line="276" w:lineRule="auto"/>
        <w:ind w:left="0" w:right="-852" w:firstLine="709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 xml:space="preserve">L’expédition d’une ordonnance en référé-liberté en appel </w:t>
      </w:r>
      <w:r w:rsidR="00251737">
        <w:rPr>
          <w:rFonts w:ascii="Tahoma" w:hAnsi="Tahoma" w:cs="Tahoma"/>
          <w:szCs w:val="25"/>
        </w:rPr>
        <w:t>revêtue de la formule exécutoire</w:t>
      </w:r>
      <w:r w:rsidR="00562E0E">
        <w:rPr>
          <w:rFonts w:ascii="Tahoma" w:hAnsi="Tahoma" w:cs="Tahoma"/>
          <w:szCs w:val="25"/>
        </w:rPr>
        <w:t>,</w:t>
      </w:r>
      <w:r w:rsidR="00251737">
        <w:rPr>
          <w:rFonts w:ascii="Tahoma" w:hAnsi="Tahoma" w:cs="Tahoma"/>
          <w:szCs w:val="25"/>
        </w:rPr>
        <w:t xml:space="preserve"> </w:t>
      </w:r>
      <w:r w:rsidRPr="00FA20D7">
        <w:rPr>
          <w:rFonts w:ascii="Tahoma" w:hAnsi="Tahoma" w:cs="Tahoma"/>
          <w:szCs w:val="25"/>
        </w:rPr>
        <w:t>rendue par le Juge des référés du Conseil d’Etat en date du</w:t>
      </w:r>
      <w:r w:rsidRPr="00FA20D7">
        <w:rPr>
          <w:rFonts w:ascii="Tahoma" w:eastAsia="Calibri" w:hAnsi="Tahoma" w:cs="Tahoma"/>
          <w:color w:val="auto"/>
          <w:sz w:val="22"/>
          <w:szCs w:val="25"/>
          <w:lang w:eastAsia="en-US"/>
        </w:rPr>
        <w:t xml:space="preserve"> </w:t>
      </w:r>
      <w:r w:rsidR="004A463F">
        <w:rPr>
          <w:rFonts w:ascii="Tahoma" w:eastAsia="Calibri" w:hAnsi="Tahoma" w:cs="Tahoma"/>
          <w:b/>
          <w:color w:val="auto"/>
          <w:szCs w:val="25"/>
          <w:lang w:eastAsia="en-US"/>
        </w:rPr>
        <w:t>25</w:t>
      </w:r>
      <w:r w:rsidR="005E597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4A463F">
        <w:rPr>
          <w:rFonts w:ascii="Tahoma" w:eastAsia="Calibri" w:hAnsi="Tahoma" w:cs="Tahoma"/>
          <w:b/>
          <w:color w:val="auto"/>
          <w:szCs w:val="25"/>
          <w:lang w:eastAsia="en-US"/>
        </w:rPr>
        <w:t>avril</w:t>
      </w:r>
      <w:r w:rsidR="005E597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2025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sous le 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RORA.07</w:t>
      </w:r>
      <w:r w:rsidR="004A463F">
        <w:rPr>
          <w:rFonts w:ascii="Tahoma" w:eastAsia="Calibri" w:hAnsi="Tahoma" w:cs="Tahoma"/>
          <w:b/>
          <w:color w:val="auto"/>
          <w:szCs w:val="25"/>
          <w:lang w:eastAsia="en-US"/>
        </w:rPr>
        <w:t>4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, en cause :</w:t>
      </w:r>
      <w:r w:rsidRPr="005E5972">
        <w:rPr>
          <w:rFonts w:eastAsia="Calibri"/>
          <w:color w:val="auto"/>
          <w:szCs w:val="25"/>
          <w:lang w:eastAsia="en-US"/>
        </w:rPr>
        <w:t xml:space="preserve"> 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Monsieur </w:t>
      </w:r>
      <w:r w:rsidR="004A463F">
        <w:rPr>
          <w:rFonts w:ascii="Lucida Handwriting" w:eastAsia="Lucida Handwriting" w:hAnsi="Lucida Handwriting" w:cs="Lucida Handwriting"/>
          <w:b/>
          <w:sz w:val="27"/>
          <w:szCs w:val="27"/>
        </w:rPr>
        <w:t>Christian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</w:t>
      </w:r>
      <w:r w:rsidR="004A463F">
        <w:rPr>
          <w:rFonts w:ascii="Lucida Handwriting" w:eastAsia="Lucida Handwriting" w:hAnsi="Lucida Handwriting" w:cs="Lucida Handwriting"/>
          <w:b/>
          <w:sz w:val="27"/>
          <w:szCs w:val="27"/>
        </w:rPr>
        <w:t>KALUME TUTU</w:t>
      </w:r>
      <w:r w:rsidRPr="005E5972"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, </w:t>
      </w:r>
      <w:r w:rsidR="004A463F"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 </w:t>
      </w:r>
      <w:r w:rsidRPr="005E5972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contre :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le 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</w:t>
      </w:r>
      <w:r w:rsidR="004A463F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Barreau 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de </w:t>
      </w:r>
      <w:r w:rsidR="004A463F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Kinshasa/Gombe</w:t>
      </w:r>
      <w:r w:rsidR="00E728DC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et </w:t>
      </w:r>
      <w:r w:rsidR="00E728DC" w:rsidRPr="00E728DC">
        <w:rPr>
          <w:rFonts w:ascii="Lucida Handwriting" w:eastAsia="Lucida Handwriting" w:hAnsi="Lucida Handwriting" w:cs="Lucida Handwriting"/>
          <w:b/>
          <w:sz w:val="22"/>
          <w:szCs w:val="27"/>
        </w:rPr>
        <w:t xml:space="preserve">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>consort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> ;</w:t>
      </w:r>
    </w:p>
    <w:p w:rsidR="00731B6E" w:rsidRPr="001E4CF7" w:rsidRDefault="00731B6E" w:rsidP="00731B6E">
      <w:pPr>
        <w:spacing w:after="19" w:line="259" w:lineRule="auto"/>
        <w:ind w:left="1418" w:firstLine="0"/>
        <w:jc w:val="right"/>
        <w:rPr>
          <w:sz w:val="12"/>
        </w:rPr>
      </w:pPr>
    </w:p>
    <w:p w:rsidR="00731B6E" w:rsidRPr="00562E0E" w:rsidRDefault="00731B6E" w:rsidP="00731B6E">
      <w:pPr>
        <w:spacing w:after="19" w:line="259" w:lineRule="auto"/>
        <w:ind w:left="1418" w:firstLine="0"/>
        <w:jc w:val="right"/>
        <w:rPr>
          <w:sz w:val="2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t xml:space="preserve">Et pour que les signifiés n’en ignorent, je leur ai ; </w:t>
      </w:r>
    </w:p>
    <w:p w:rsidR="005F3FE7" w:rsidRPr="00CB6402" w:rsidRDefault="005F3FE7" w:rsidP="005F3FE7">
      <w:pPr>
        <w:spacing w:after="0" w:line="259" w:lineRule="auto"/>
        <w:ind w:left="0" w:firstLine="0"/>
        <w:jc w:val="left"/>
        <w:rPr>
          <w:sz w:val="22"/>
        </w:rPr>
      </w:pPr>
      <w:r w:rsidRPr="005F3FE7">
        <w:t xml:space="preserve"> 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E728DC">
        <w:rPr>
          <w:rFonts w:ascii="Tahoma" w:hAnsi="Tahoma" w:cs="Tahoma"/>
          <w:szCs w:val="25"/>
        </w:rPr>
        <w:t>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5F3FE7" w:rsidRPr="001E4CF7" w:rsidRDefault="005F3FE7" w:rsidP="005F3FE7">
      <w:pPr>
        <w:spacing w:after="0" w:line="240" w:lineRule="auto"/>
        <w:rPr>
          <w:szCs w:val="24"/>
        </w:rPr>
      </w:pP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E728DC" w:rsidRDefault="00E728DC" w:rsidP="005F3FE7">
      <w:pPr>
        <w:spacing w:after="0" w:line="240" w:lineRule="auto"/>
        <w:rPr>
          <w:szCs w:val="25"/>
        </w:rPr>
      </w:pPr>
    </w:p>
    <w:p w:rsidR="00E728DC" w:rsidRPr="00E728DC" w:rsidRDefault="00E728DC" w:rsidP="00E728DC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FA20D7">
        <w:rPr>
          <w:szCs w:val="25"/>
        </w:rPr>
        <w:t xml:space="preserve">: </w:t>
      </w:r>
      <w:r w:rsidRPr="00E728DC">
        <w:rPr>
          <w:rFonts w:ascii="Tahoma" w:hAnsi="Tahoma" w:cs="Tahoma"/>
          <w:szCs w:val="25"/>
        </w:rPr>
        <w:t>Etant à</w:t>
      </w:r>
    </w:p>
    <w:p w:rsidR="00E728DC" w:rsidRPr="00E728DC" w:rsidRDefault="00E728DC" w:rsidP="00E728DC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731B6E" w:rsidRDefault="00731B6E" w:rsidP="00731B6E">
      <w:pPr>
        <w:ind w:left="0" w:firstLine="0"/>
        <w:rPr>
          <w:rFonts w:ascii="Lucida Handwriting" w:hAnsi="Lucida Handwriting"/>
          <w:sz w:val="10"/>
        </w:rPr>
      </w:pPr>
    </w:p>
    <w:p w:rsidR="001E4CF7" w:rsidRDefault="001E4CF7" w:rsidP="00731B6E">
      <w:pPr>
        <w:ind w:left="0" w:firstLine="0"/>
        <w:rPr>
          <w:rFonts w:ascii="Lucida Handwriting" w:hAnsi="Lucida Handwriting"/>
          <w:sz w:val="10"/>
        </w:rPr>
      </w:pPr>
    </w:p>
    <w:p w:rsidR="001E4CF7" w:rsidRDefault="001E4CF7" w:rsidP="00731B6E">
      <w:pPr>
        <w:ind w:left="0" w:firstLine="0"/>
        <w:rPr>
          <w:rFonts w:ascii="Lucida Handwriting" w:hAnsi="Lucida Handwriting"/>
          <w:sz w:val="10"/>
        </w:rPr>
      </w:pPr>
    </w:p>
    <w:p w:rsidR="001E4CF7" w:rsidRPr="00BC0C35" w:rsidRDefault="001E4CF7" w:rsidP="00731B6E">
      <w:pPr>
        <w:ind w:left="0" w:firstLine="0"/>
        <w:rPr>
          <w:rFonts w:ascii="Lucida Handwriting" w:hAnsi="Lucida Handwriting"/>
          <w:sz w:val="10"/>
        </w:rPr>
      </w:pPr>
    </w:p>
    <w:p w:rsidR="009F6856" w:rsidRPr="00E728DC" w:rsidRDefault="001B7E44" w:rsidP="00FB630F">
      <w:pPr>
        <w:ind w:left="-5" w:right="-427" w:firstLine="5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 xml:space="preserve">Laissé </w:t>
      </w:r>
      <w:r w:rsidR="001E611F" w:rsidRPr="00E728DC">
        <w:rPr>
          <w:rFonts w:ascii="Tahoma" w:hAnsi="Tahoma" w:cs="Tahoma"/>
          <w:szCs w:val="25"/>
        </w:rPr>
        <w:t>à chacun</w:t>
      </w:r>
      <w:r w:rsidR="005F3FE7" w:rsidRPr="00E728DC">
        <w:rPr>
          <w:rFonts w:ascii="Tahoma" w:hAnsi="Tahoma" w:cs="Tahoma"/>
          <w:szCs w:val="25"/>
        </w:rPr>
        <w:t xml:space="preserve"> </w:t>
      </w:r>
      <w:r w:rsidR="00A364B9" w:rsidRPr="00E728DC">
        <w:rPr>
          <w:rFonts w:ascii="Tahoma" w:hAnsi="Tahoma" w:cs="Tahoma"/>
          <w:szCs w:val="25"/>
        </w:rPr>
        <w:t>copie du présent exploi</w:t>
      </w:r>
      <w:r w:rsidR="00541AE2" w:rsidRPr="00E728DC">
        <w:rPr>
          <w:rFonts w:ascii="Tahoma" w:hAnsi="Tahoma" w:cs="Tahoma"/>
          <w:szCs w:val="25"/>
        </w:rPr>
        <w:t>t et celle de la susdite ordonnance</w:t>
      </w:r>
      <w:r w:rsidR="00A364B9" w:rsidRPr="00E728DC">
        <w:rPr>
          <w:rFonts w:ascii="Tahoma" w:hAnsi="Tahoma" w:cs="Tahoma"/>
          <w:szCs w:val="25"/>
        </w:rPr>
        <w:t xml:space="preserve">. </w:t>
      </w:r>
    </w:p>
    <w:p w:rsidR="001E611F" w:rsidRPr="00FA20D7" w:rsidRDefault="001E611F" w:rsidP="004C7A8D">
      <w:pPr>
        <w:spacing w:after="0" w:line="259" w:lineRule="auto"/>
        <w:ind w:left="0" w:right="362" w:firstLine="0"/>
        <w:rPr>
          <w:sz w:val="20"/>
          <w:szCs w:val="25"/>
        </w:rPr>
      </w:pPr>
    </w:p>
    <w:p w:rsidR="00E776AB" w:rsidRDefault="00E776AB">
      <w:pPr>
        <w:spacing w:after="0" w:line="259" w:lineRule="auto"/>
        <w:ind w:left="366" w:right="362"/>
        <w:jc w:val="center"/>
        <w:rPr>
          <w:sz w:val="25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E776AB" w:rsidRDefault="006E4AC6">
      <w:pPr>
        <w:spacing w:after="0" w:line="259" w:lineRule="auto"/>
        <w:ind w:left="366" w:right="362"/>
        <w:jc w:val="center"/>
        <w:rPr>
          <w:sz w:val="28"/>
        </w:rPr>
      </w:pPr>
    </w:p>
    <w:p w:rsidR="00146A6A" w:rsidRDefault="00A364B9" w:rsidP="00FA20D7">
      <w:pPr>
        <w:tabs>
          <w:tab w:val="left" w:pos="8222"/>
          <w:tab w:val="left" w:pos="9072"/>
        </w:tabs>
        <w:ind w:left="-5" w:right="-710" w:firstLine="572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</w:t>
      </w:r>
      <w:proofErr w:type="spellStart"/>
      <w:r w:rsidR="00275B2F" w:rsidRPr="00FA20D7">
        <w:rPr>
          <w:b/>
          <w:i/>
          <w:sz w:val="25"/>
          <w:szCs w:val="25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5F3FE7" w:rsidRPr="00CB6402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44"/>
          <w:szCs w:val="38"/>
        </w:rPr>
      </w:pPr>
    </w:p>
    <w:p w:rsidR="005F3FE7" w:rsidRPr="00FA20D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8672D6" w:rsidRPr="00CB6402" w:rsidRDefault="008672D6" w:rsidP="00562E0E">
      <w:pPr>
        <w:spacing w:after="117" w:line="259" w:lineRule="auto"/>
        <w:ind w:left="1276" w:hanging="425"/>
        <w:jc w:val="left"/>
      </w:pPr>
    </w:p>
    <w:p w:rsidR="005F3FE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  <w:bookmarkStart w:id="0" w:name="_GoBack"/>
      <w:bookmarkEnd w:id="0"/>
    </w:p>
    <w:p w:rsidR="00E776AB" w:rsidRPr="009C4647" w:rsidRDefault="00E776AB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sectPr w:rsidR="00E776AB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1B9A" w:rsidRDefault="005B1B9A" w:rsidP="00045D9B">
      <w:pPr>
        <w:spacing w:after="0" w:line="240" w:lineRule="auto"/>
      </w:pPr>
      <w:r>
        <w:separator/>
      </w:r>
    </w:p>
  </w:endnote>
  <w:endnote w:type="continuationSeparator" w:id="0">
    <w:p w:rsidR="005B1B9A" w:rsidRDefault="005B1B9A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1BB" w:rsidRDefault="00E728DC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1B9A" w:rsidRDefault="005B1B9A" w:rsidP="00045D9B">
      <w:pPr>
        <w:spacing w:after="0" w:line="240" w:lineRule="auto"/>
      </w:pPr>
      <w:r>
        <w:separator/>
      </w:r>
    </w:p>
  </w:footnote>
  <w:footnote w:type="continuationSeparator" w:id="0">
    <w:p w:rsidR="005B1B9A" w:rsidRDefault="005B1B9A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Pr="00E776AB" w:rsidRDefault="00045D9B" w:rsidP="00E776A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CB6402" w:rsidRPr="00CB640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</w:t>
        </w:r>
        <w:r w:rsidR="00E728DC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</w:t>
        </w:r>
        <w:r w:rsidR="00E061BB" w:rsidRPr="00E728DC">
          <w:rPr>
            <w:rFonts w:ascii="Lucida Handwriting" w:hAnsi="Lucida Handwriting"/>
            <w:b/>
            <w:sz w:val="32"/>
            <w:szCs w:val="30"/>
          </w:rPr>
          <w:t>RORA.0</w:t>
        </w:r>
        <w:r w:rsidR="00CB6402">
          <w:rPr>
            <w:rFonts w:ascii="Lucida Handwriting" w:hAnsi="Lucida Handwriting"/>
            <w:b/>
            <w:sz w:val="32"/>
            <w:szCs w:val="30"/>
          </w:rPr>
          <w:t>74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  <w:lang w:val="en-US" w:eastAsia="en-US"/>
      </w:rPr>
      <w:drawing>
        <wp:anchor distT="0" distB="0" distL="114300" distR="114300" simplePos="0" relativeHeight="251659264" behindDoc="0" locked="0" layoutInCell="1" allowOverlap="1" wp14:anchorId="52893045" wp14:editId="740DA732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3323FB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48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RORA.</w:t>
    </w:r>
    <w:r w:rsidR="00F22957" w:rsidRPr="00FA20D7">
      <w:rPr>
        <w:b/>
        <w:i w:val="0"/>
        <w:sz w:val="32"/>
        <w:szCs w:val="31"/>
        <w:u w:val="none"/>
      </w:rPr>
      <w:t>0</w:t>
    </w:r>
    <w:r w:rsidRPr="00FA20D7">
      <w:rPr>
        <w:b/>
        <w:i w:val="0"/>
        <w:sz w:val="32"/>
        <w:szCs w:val="31"/>
        <w:u w:val="none"/>
      </w:rPr>
      <w:t>7</w:t>
    </w:r>
    <w:r w:rsidR="00F17025">
      <w:rPr>
        <w:b/>
        <w:i w:val="0"/>
        <w:sz w:val="32"/>
        <w:szCs w:val="31"/>
        <w:u w:val="none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4ECF2162"/>
    <w:multiLevelType w:val="hybridMultilevel"/>
    <w:tmpl w:val="D0F6E536"/>
    <w:lvl w:ilvl="0" w:tplc="FE64F454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201809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7ABB21A1"/>
    <w:multiLevelType w:val="hybridMultilevel"/>
    <w:tmpl w:val="CF020176"/>
    <w:lvl w:ilvl="0" w:tplc="72825792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11"/>
  </w:num>
  <w:num w:numId="7">
    <w:abstractNumId w:val="5"/>
  </w:num>
  <w:num w:numId="8">
    <w:abstractNumId w:val="0"/>
  </w:num>
  <w:num w:numId="9">
    <w:abstractNumId w:val="10"/>
  </w:num>
  <w:num w:numId="10">
    <w:abstractNumId w:val="6"/>
  </w:num>
  <w:num w:numId="11">
    <w:abstractNumId w:val="8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256CD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292A"/>
    <w:rsid w:val="000B6133"/>
    <w:rsid w:val="000D06E4"/>
    <w:rsid w:val="000D1DA3"/>
    <w:rsid w:val="000D486E"/>
    <w:rsid w:val="000E2738"/>
    <w:rsid w:val="000F0B35"/>
    <w:rsid w:val="000F463C"/>
    <w:rsid w:val="001108E3"/>
    <w:rsid w:val="00130E69"/>
    <w:rsid w:val="00146A6A"/>
    <w:rsid w:val="00152BC3"/>
    <w:rsid w:val="001716B6"/>
    <w:rsid w:val="001B7E44"/>
    <w:rsid w:val="001E21F8"/>
    <w:rsid w:val="001E4CF7"/>
    <w:rsid w:val="001E611F"/>
    <w:rsid w:val="00211BEB"/>
    <w:rsid w:val="00215AD8"/>
    <w:rsid w:val="00224E5B"/>
    <w:rsid w:val="00251737"/>
    <w:rsid w:val="002544E8"/>
    <w:rsid w:val="002648B3"/>
    <w:rsid w:val="00275B2F"/>
    <w:rsid w:val="00286057"/>
    <w:rsid w:val="002924FD"/>
    <w:rsid w:val="002A6ABE"/>
    <w:rsid w:val="002B34C5"/>
    <w:rsid w:val="002B395D"/>
    <w:rsid w:val="002E1B00"/>
    <w:rsid w:val="002E264C"/>
    <w:rsid w:val="002E4E7B"/>
    <w:rsid w:val="003323FB"/>
    <w:rsid w:val="00334E12"/>
    <w:rsid w:val="00341229"/>
    <w:rsid w:val="00376B2B"/>
    <w:rsid w:val="003A0E05"/>
    <w:rsid w:val="003A3E97"/>
    <w:rsid w:val="003B069A"/>
    <w:rsid w:val="003E4113"/>
    <w:rsid w:val="003E5602"/>
    <w:rsid w:val="003F3552"/>
    <w:rsid w:val="0040192A"/>
    <w:rsid w:val="004049A9"/>
    <w:rsid w:val="0041512E"/>
    <w:rsid w:val="004278E5"/>
    <w:rsid w:val="00442C57"/>
    <w:rsid w:val="004465C9"/>
    <w:rsid w:val="00453F3F"/>
    <w:rsid w:val="004557D7"/>
    <w:rsid w:val="00460418"/>
    <w:rsid w:val="004629EE"/>
    <w:rsid w:val="00475DDC"/>
    <w:rsid w:val="0048749F"/>
    <w:rsid w:val="004A463F"/>
    <w:rsid w:val="004A4A18"/>
    <w:rsid w:val="004A6FCC"/>
    <w:rsid w:val="004B52DF"/>
    <w:rsid w:val="004C6D3D"/>
    <w:rsid w:val="004C7A8D"/>
    <w:rsid w:val="004D376A"/>
    <w:rsid w:val="00503614"/>
    <w:rsid w:val="005070B0"/>
    <w:rsid w:val="00541AE2"/>
    <w:rsid w:val="00562E0E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A3A81"/>
    <w:rsid w:val="005B1B9A"/>
    <w:rsid w:val="005E5972"/>
    <w:rsid w:val="005F3FE7"/>
    <w:rsid w:val="00612E42"/>
    <w:rsid w:val="00622DA7"/>
    <w:rsid w:val="00623C85"/>
    <w:rsid w:val="00631F37"/>
    <w:rsid w:val="0064056C"/>
    <w:rsid w:val="006A423C"/>
    <w:rsid w:val="006A6BF3"/>
    <w:rsid w:val="006D6948"/>
    <w:rsid w:val="006E4AC6"/>
    <w:rsid w:val="006F13F3"/>
    <w:rsid w:val="006F3134"/>
    <w:rsid w:val="00720702"/>
    <w:rsid w:val="00731B6E"/>
    <w:rsid w:val="0073366C"/>
    <w:rsid w:val="007444CA"/>
    <w:rsid w:val="0074767A"/>
    <w:rsid w:val="0075161A"/>
    <w:rsid w:val="007715E3"/>
    <w:rsid w:val="00772912"/>
    <w:rsid w:val="0077779A"/>
    <w:rsid w:val="00797C7F"/>
    <w:rsid w:val="007E6AA2"/>
    <w:rsid w:val="007E7088"/>
    <w:rsid w:val="00800194"/>
    <w:rsid w:val="00820600"/>
    <w:rsid w:val="00822A21"/>
    <w:rsid w:val="00841699"/>
    <w:rsid w:val="008472FF"/>
    <w:rsid w:val="00861886"/>
    <w:rsid w:val="008672D6"/>
    <w:rsid w:val="008B4C61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2A1"/>
    <w:rsid w:val="00AE1378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B0E63"/>
    <w:rsid w:val="00BC0C35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80C3E"/>
    <w:rsid w:val="00C95775"/>
    <w:rsid w:val="00CB6402"/>
    <w:rsid w:val="00CE0552"/>
    <w:rsid w:val="00CF194A"/>
    <w:rsid w:val="00D122B4"/>
    <w:rsid w:val="00D21BE9"/>
    <w:rsid w:val="00D24F4D"/>
    <w:rsid w:val="00D26B1C"/>
    <w:rsid w:val="00D43ED4"/>
    <w:rsid w:val="00D44A2C"/>
    <w:rsid w:val="00D50245"/>
    <w:rsid w:val="00D506A9"/>
    <w:rsid w:val="00D6244C"/>
    <w:rsid w:val="00D77EB0"/>
    <w:rsid w:val="00D803FB"/>
    <w:rsid w:val="00D862C1"/>
    <w:rsid w:val="00D86A76"/>
    <w:rsid w:val="00DB0F01"/>
    <w:rsid w:val="00DC0DDD"/>
    <w:rsid w:val="00E05DE7"/>
    <w:rsid w:val="00E061BB"/>
    <w:rsid w:val="00E11668"/>
    <w:rsid w:val="00E11FFF"/>
    <w:rsid w:val="00E3067F"/>
    <w:rsid w:val="00E3133B"/>
    <w:rsid w:val="00E41607"/>
    <w:rsid w:val="00E55647"/>
    <w:rsid w:val="00E728DC"/>
    <w:rsid w:val="00E776AB"/>
    <w:rsid w:val="00E85760"/>
    <w:rsid w:val="00E91032"/>
    <w:rsid w:val="00E91DC9"/>
    <w:rsid w:val="00E95793"/>
    <w:rsid w:val="00EB2C40"/>
    <w:rsid w:val="00ED66C8"/>
    <w:rsid w:val="00EE6E9A"/>
    <w:rsid w:val="00F13044"/>
    <w:rsid w:val="00F14D49"/>
    <w:rsid w:val="00F17025"/>
    <w:rsid w:val="00F22957"/>
    <w:rsid w:val="00F26203"/>
    <w:rsid w:val="00F44B04"/>
    <w:rsid w:val="00F4766C"/>
    <w:rsid w:val="00F75460"/>
    <w:rsid w:val="00F92A14"/>
    <w:rsid w:val="00F96263"/>
    <w:rsid w:val="00FA20D7"/>
    <w:rsid w:val="00FB630F"/>
    <w:rsid w:val="00FC0CCD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hppp</cp:lastModifiedBy>
  <cp:revision>95</cp:revision>
  <cp:lastPrinted>2025-06-18T12:37:00Z</cp:lastPrinted>
  <dcterms:created xsi:type="dcterms:W3CDTF">2023-09-29T10:48:00Z</dcterms:created>
  <dcterms:modified xsi:type="dcterms:W3CDTF">2025-07-10T15:44:00Z</dcterms:modified>
</cp:coreProperties>
</file>