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AA3CD2" w14:textId="301E1560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MEMORANDUM OF LAW</w:t>
      </w:r>
    </w:p>
    <w:p w14:paraId="34EBF61E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TO:     Senior Partners, Mitchell &amp; Associates Legal Group</w:t>
      </w:r>
    </w:p>
    <w:p w14:paraId="5B4DAEB8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FROM:   James R. Mitchell, </w:t>
      </w:r>
      <w:proofErr w:type="spellStart"/>
      <w:r w:rsidRPr="00985DC6">
        <w:rPr>
          <w:sz w:val="22"/>
          <w:szCs w:val="22"/>
        </w:rPr>
        <w:t>Esq.</w:t>
      </w:r>
      <w:proofErr w:type="spellEnd"/>
    </w:p>
    <w:p w14:paraId="4E34B02B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DATE:   June 23, 2024</w:t>
      </w:r>
    </w:p>
    <w:p w14:paraId="6538F6FC" w14:textId="0D26D1F4" w:rsid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RE:     Employment Discrimination Class Action — Rivera et al. v.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Inc.</w:t>
      </w:r>
    </w:p>
    <w:p w14:paraId="3862CBB9" w14:textId="77777777" w:rsidR="00985DC6" w:rsidRPr="00985DC6" w:rsidRDefault="00985DC6" w:rsidP="00985DC6">
      <w:pPr>
        <w:rPr>
          <w:sz w:val="22"/>
          <w:szCs w:val="22"/>
        </w:rPr>
      </w:pPr>
    </w:p>
    <w:p w14:paraId="16A73724" w14:textId="412E585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I. EXECUTIVE SUMMARY</w:t>
      </w:r>
    </w:p>
    <w:p w14:paraId="4F2C1588" w14:textId="69675B2C" w:rsid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This memorandum addresses the class action lawsuit filed by 47 former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 xml:space="preserve">employees of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Inc. alleging systematic racial and gender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discrimination in hiring, promotion, and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compensation decisions between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2020 and 2024. Plaintiffs seek compensatory damages, punitive damages,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and injunctive relief under Title VII of the Civil Rights Act of 1964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and the Equal Pay Act of 1963.</w:t>
      </w:r>
    </w:p>
    <w:p w14:paraId="111C86DF" w14:textId="77777777" w:rsidR="00985DC6" w:rsidRPr="00985DC6" w:rsidRDefault="00985DC6" w:rsidP="00985DC6">
      <w:pPr>
        <w:rPr>
          <w:sz w:val="22"/>
          <w:szCs w:val="22"/>
        </w:rPr>
      </w:pPr>
    </w:p>
    <w:p w14:paraId="46D6F9BD" w14:textId="0E6EC97E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II. BACKGROUND AND FACTS</w:t>
      </w:r>
    </w:p>
    <w:p w14:paraId="310EE98A" w14:textId="49E7A9DC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1.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Inc. is a technology company headquartered in Austin, Texas  with approximately 3,200 employees across 12 US offices.</w:t>
      </w:r>
    </w:p>
    <w:p w14:paraId="09BF7032" w14:textId="78737471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2. Between January 2020 and December 2023,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hired 840 new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employees at senior and management level positions.</w:t>
      </w:r>
    </w:p>
    <w:p w14:paraId="103FF580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3. Internal HR data obtained through discovery reveals:</w:t>
      </w:r>
    </w:p>
    <w:p w14:paraId="00B9DFFC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- Only 6% of senior hires were Black or Hispanic candidates</w:t>
      </w:r>
    </w:p>
    <w:p w14:paraId="23DFC98A" w14:textId="6CB513FC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- Women were paid an average of 34% less than male counterparts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in equivalent roles</w:t>
      </w:r>
    </w:p>
    <w:p w14:paraId="5B437DD6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- 91% of promotions to Vice President level went to white male employees</w:t>
      </w:r>
    </w:p>
    <w:p w14:paraId="473F5841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- Minority candidates were rejected at 3x the rate of white candidates</w:t>
      </w:r>
    </w:p>
    <w:p w14:paraId="27A53B82" w14:textId="113359EF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  with equivalent qualifications</w:t>
      </w:r>
    </w:p>
    <w:p w14:paraId="02F37D5E" w14:textId="19598B5D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4. Three former HR managers have agreed to testify that they were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verbally instructed to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prioritize white male candidates for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senior positions.</w:t>
      </w:r>
    </w:p>
    <w:p w14:paraId="553A5EA2" w14:textId="2376DE96" w:rsid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5. </w:t>
      </w:r>
      <w:proofErr w:type="spellStart"/>
      <w:r w:rsidRPr="00985DC6">
        <w:rPr>
          <w:sz w:val="22"/>
          <w:szCs w:val="22"/>
        </w:rPr>
        <w:t>NexaCorp's</w:t>
      </w:r>
      <w:proofErr w:type="spellEnd"/>
      <w:r w:rsidRPr="00985DC6">
        <w:rPr>
          <w:sz w:val="22"/>
          <w:szCs w:val="22"/>
        </w:rPr>
        <w:t xml:space="preserve"> internal compensation analysis from 2022, obtained  through discovery, acknowledged the pay gap but recommended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no corrective action.</w:t>
      </w:r>
    </w:p>
    <w:p w14:paraId="0CD738E8" w14:textId="77777777" w:rsidR="00985DC6" w:rsidRPr="00985DC6" w:rsidRDefault="00985DC6" w:rsidP="00985DC6">
      <w:pPr>
        <w:rPr>
          <w:sz w:val="22"/>
          <w:szCs w:val="22"/>
        </w:rPr>
      </w:pPr>
    </w:p>
    <w:p w14:paraId="21E52036" w14:textId="37AEC39F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III. LEGAL FRAMEWORK</w:t>
      </w:r>
    </w:p>
    <w:p w14:paraId="30D86044" w14:textId="46936C19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A. Title VII of the Civil Rights Act (1964)</w:t>
      </w:r>
    </w:p>
    <w:p w14:paraId="39C8AEB5" w14:textId="15C89446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lastRenderedPageBreak/>
        <w:t xml:space="preserve">Title VII prohibits employment discrimination based on race, </w:t>
      </w:r>
      <w:proofErr w:type="spellStart"/>
      <w:r w:rsidRPr="00985DC6">
        <w:rPr>
          <w:sz w:val="22"/>
          <w:szCs w:val="22"/>
        </w:rPr>
        <w:t>color</w:t>
      </w:r>
      <w:proofErr w:type="spellEnd"/>
      <w:r w:rsidRPr="00985DC6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religion, sex, or national origin. It applies to all employers with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 xml:space="preserve">15 or more employees.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>, with 3,200 employees, is clearly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subject to Title VII.</w:t>
      </w:r>
    </w:p>
    <w:p w14:paraId="62E32BEB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Under the disparate impact theory established in Griggs v. Duke Power</w:t>
      </w:r>
    </w:p>
    <w:p w14:paraId="565FD64F" w14:textId="43F85BBA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Co., 401 U.S. 424 (1971), plaintiffs need not prove intentional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discrimination. Statistical evidence showing that a neutral employment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practice has a disproportionate adverse effect on a protected class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is sufficient to establish a prima facie case.</w:t>
      </w:r>
    </w:p>
    <w:p w14:paraId="5845C383" w14:textId="251018D9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Under the disparate treatment theory, plaintiffs must follow the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burden-shifting framework from McDonnell Douglas Corp. v. Green,</w:t>
      </w:r>
    </w:p>
    <w:p w14:paraId="076A60D2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411 U.S. 792 (1973):</w:t>
      </w:r>
    </w:p>
    <w:p w14:paraId="1710FECE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Step 1: Plaintiff establishes prima facie discrimination</w:t>
      </w:r>
    </w:p>
    <w:p w14:paraId="020BE641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Step 2: Burden shifts to employer to show legitimate reason</w:t>
      </w:r>
    </w:p>
    <w:p w14:paraId="1D8CEEAF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Step 3: Plaintiff must show the reason is pretextual</w:t>
      </w:r>
    </w:p>
    <w:p w14:paraId="42AD635A" w14:textId="77777777" w:rsidR="00985DC6" w:rsidRPr="00985DC6" w:rsidRDefault="00985DC6" w:rsidP="00985DC6">
      <w:pPr>
        <w:rPr>
          <w:sz w:val="22"/>
          <w:szCs w:val="22"/>
        </w:rPr>
      </w:pPr>
    </w:p>
    <w:p w14:paraId="16570AF1" w14:textId="431AB04E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B. Equal Pay Act (1963)</w:t>
      </w:r>
    </w:p>
    <w:p w14:paraId="244B901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The Equal Pay Act requires that men and women receive equal pay</w:t>
      </w:r>
    </w:p>
    <w:p w14:paraId="01E3F30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for equal work in the same establishment. The jobs need not be</w:t>
      </w:r>
    </w:p>
    <w:p w14:paraId="20EF85F3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identical but must be substantially equal in skill, effort,</w:t>
      </w:r>
    </w:p>
    <w:p w14:paraId="355B8A96" w14:textId="71EA6CC3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and responsibility.</w:t>
      </w:r>
    </w:p>
    <w:p w14:paraId="13E0767C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In Corning Glass Works v. Brennan, 417 U.S. 188 (1974), the Supreme</w:t>
      </w:r>
    </w:p>
    <w:p w14:paraId="252E2C4B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Court held that employers cannot justify pay disparities based on</w:t>
      </w:r>
    </w:p>
    <w:p w14:paraId="20A993AB" w14:textId="495B592B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market forces or prior salary history alone.</w:t>
      </w:r>
    </w:p>
    <w:p w14:paraId="2EA27383" w14:textId="5078A8DA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C. Class Action Requirements — Rule 23</w:t>
      </w:r>
    </w:p>
    <w:p w14:paraId="293626DB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For class certification under FRCP Rule 23, plaintiffs must establish:</w:t>
      </w:r>
    </w:p>
    <w:p w14:paraId="1D7D773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- Numerosity: 47 plaintiffs satisfies this requirement</w:t>
      </w:r>
    </w:p>
    <w:p w14:paraId="7153B379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- Commonality: shared discriminatory policy across all plaintiffs</w:t>
      </w:r>
    </w:p>
    <w:p w14:paraId="33192D22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- Typicality: representative plaintiffs' claims are typical</w:t>
      </w:r>
    </w:p>
    <w:p w14:paraId="5F240F45" w14:textId="3FF2920E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 - Adequacy: class counsel can adequately represent the class</w:t>
      </w:r>
    </w:p>
    <w:p w14:paraId="056AAC27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Wal-Mart Stores Inc. v. Dukes, 564 U.S. 338 (2011) requires</w:t>
      </w:r>
    </w:p>
    <w:p w14:paraId="685AFEB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a common question of law or fact that generates common answers</w:t>
      </w:r>
    </w:p>
    <w:p w14:paraId="1D14D27F" w14:textId="57D9FB47" w:rsid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capable of resolving the litigation in one stroke.</w:t>
      </w:r>
    </w:p>
    <w:p w14:paraId="1B7D025D" w14:textId="77777777" w:rsidR="00985DC6" w:rsidRPr="00985DC6" w:rsidRDefault="00985DC6" w:rsidP="00985DC6">
      <w:pPr>
        <w:rPr>
          <w:sz w:val="22"/>
          <w:szCs w:val="22"/>
        </w:rPr>
      </w:pPr>
    </w:p>
    <w:p w14:paraId="110084FB" w14:textId="25D06FC5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IV. EVIDENCE ASSESSMENT</w:t>
      </w:r>
    </w:p>
    <w:p w14:paraId="5BFA5717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STRONG EVIDENCE:</w:t>
      </w:r>
    </w:p>
    <w:p w14:paraId="2DEBF941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- Statistical data showing 34% pay gap across 840 hiring decisions</w:t>
      </w:r>
    </w:p>
    <w:p w14:paraId="50C5FBAB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- Internal 2022 compensation analysis acknowledging the disparity</w:t>
      </w:r>
    </w:p>
    <w:p w14:paraId="5654ACC8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- Three HR manager witnesses willing to testify to verbal instructions</w:t>
      </w:r>
    </w:p>
    <w:p w14:paraId="749BEC71" w14:textId="485CA511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- 3x rejection rate for minority candidates with equal qualifications</w:t>
      </w:r>
    </w:p>
    <w:p w14:paraId="1CCAB2C0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POTENTIAL WEAKNESSES:</w:t>
      </w:r>
    </w:p>
    <w:p w14:paraId="2738216E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-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will argue legitimate business reasons for individual decisions</w:t>
      </w:r>
    </w:p>
    <w:p w14:paraId="2F673CD9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- Wal-Mart v. Dukes may complicate class certification if </w:t>
      </w:r>
      <w:proofErr w:type="spellStart"/>
      <w:r w:rsidRPr="00985DC6">
        <w:rPr>
          <w:sz w:val="22"/>
          <w:szCs w:val="22"/>
        </w:rPr>
        <w:t>NexaCorp</w:t>
      </w:r>
      <w:proofErr w:type="spellEnd"/>
    </w:p>
    <w:p w14:paraId="26961A0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  argues each hiring decision was independently made</w:t>
      </w:r>
    </w:p>
    <w:p w14:paraId="181D9535" w14:textId="2535687A" w:rsid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- Some pay disparities may be partially explained by role differences</w:t>
      </w:r>
    </w:p>
    <w:p w14:paraId="4C06338A" w14:textId="77777777" w:rsidR="00985DC6" w:rsidRPr="00985DC6" w:rsidRDefault="00985DC6" w:rsidP="00985DC6">
      <w:pPr>
        <w:rPr>
          <w:sz w:val="22"/>
          <w:szCs w:val="22"/>
        </w:rPr>
      </w:pPr>
    </w:p>
    <w:p w14:paraId="728650C0" w14:textId="24F40DED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V. REGULATORY CONSIDERATIONS</w:t>
      </w:r>
    </w:p>
    <w:p w14:paraId="25D4CC97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EEOC Charge Requirement:</w:t>
      </w:r>
    </w:p>
    <w:p w14:paraId="6FB9737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Before filing suit under Title VII, plaintiffs must file a charge</w:t>
      </w:r>
    </w:p>
    <w:p w14:paraId="388FF91F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with the Equal Employment Opportunity Commission (EEOC) within</w:t>
      </w:r>
    </w:p>
    <w:p w14:paraId="0654E006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300 days of the discriminatory act. All 47 plaintiffs have filed</w:t>
      </w:r>
    </w:p>
    <w:p w14:paraId="366E8C97" w14:textId="41C6F9F1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EEOC charges and received right-to-sue letters.</w:t>
      </w:r>
    </w:p>
    <w:p w14:paraId="4A1459C4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OFCCP Compliance:</w:t>
      </w:r>
    </w:p>
    <w:p w14:paraId="09C4A280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If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holds federal contracts, it is subject to Office of</w:t>
      </w:r>
    </w:p>
    <w:p w14:paraId="3EF304D6" w14:textId="77777777" w:rsid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Federal Contract Compliance Programs (OFCCP) regulations requiring</w:t>
      </w:r>
      <w:r>
        <w:rPr>
          <w:sz w:val="22"/>
          <w:szCs w:val="22"/>
        </w:rPr>
        <w:t xml:space="preserve"> </w:t>
      </w:r>
    </w:p>
    <w:p w14:paraId="0F585E6B" w14:textId="1EA6B5DB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affirmative action and prohibiting discrimination. A parallel</w:t>
      </w:r>
      <w:r>
        <w:rPr>
          <w:sz w:val="22"/>
          <w:szCs w:val="22"/>
        </w:rPr>
        <w:t xml:space="preserve"> </w:t>
      </w:r>
      <w:r w:rsidRPr="00985DC6">
        <w:rPr>
          <w:sz w:val="22"/>
          <w:szCs w:val="22"/>
        </w:rPr>
        <w:t>OFCCP complaint has been filed.</w:t>
      </w:r>
    </w:p>
    <w:p w14:paraId="4C2AE2A5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Litigation Hold:</w:t>
      </w:r>
    </w:p>
    <w:p w14:paraId="2445C17D" w14:textId="77777777" w:rsidR="00985DC6" w:rsidRPr="00985DC6" w:rsidRDefault="00985DC6" w:rsidP="00985DC6">
      <w:pPr>
        <w:rPr>
          <w:sz w:val="22"/>
          <w:szCs w:val="22"/>
        </w:rPr>
      </w:pP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has been issued a litigation hold notice requiring</w:t>
      </w:r>
    </w:p>
    <w:p w14:paraId="231CA151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preservation of all HR records, emails, compensation data,</w:t>
      </w:r>
    </w:p>
    <w:p w14:paraId="1C657027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and promotion decision documentation from 2019 to present.</w:t>
      </w:r>
    </w:p>
    <w:p w14:paraId="647B738E" w14:textId="77777777" w:rsidR="00985DC6" w:rsidRPr="00985DC6" w:rsidRDefault="00985DC6" w:rsidP="00985DC6">
      <w:pPr>
        <w:rPr>
          <w:sz w:val="22"/>
          <w:szCs w:val="22"/>
        </w:rPr>
      </w:pPr>
    </w:p>
    <w:p w14:paraId="5D65AD75" w14:textId="7C9B4DAC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VI. RECOMMENDED STRATEGY</w:t>
      </w:r>
    </w:p>
    <w:p w14:paraId="20BC4DED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IMMEDIATE ACTIONS (0-30 days):</w:t>
      </w:r>
    </w:p>
    <w:p w14:paraId="73065091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lastRenderedPageBreak/>
        <w:t>1. File motion for class certification under FRCP Rule 23</w:t>
      </w:r>
    </w:p>
    <w:p w14:paraId="544DB1D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2. Serve comprehensive discovery requests for all compensation data</w:t>
      </w:r>
    </w:p>
    <w:p w14:paraId="43ACD6AE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3. Retain expert statistician to </w:t>
      </w:r>
      <w:proofErr w:type="spellStart"/>
      <w:r w:rsidRPr="00985DC6">
        <w:rPr>
          <w:sz w:val="22"/>
          <w:szCs w:val="22"/>
        </w:rPr>
        <w:t>analyze</w:t>
      </w:r>
      <w:proofErr w:type="spellEnd"/>
      <w:r w:rsidRPr="00985DC6">
        <w:rPr>
          <w:sz w:val="22"/>
          <w:szCs w:val="22"/>
        </w:rPr>
        <w:t xml:space="preserve"> hiring and pay data</w:t>
      </w:r>
    </w:p>
    <w:p w14:paraId="265AC02A" w14:textId="6CFFCBBF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4. Depose all three HR manager witnesses before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prepares them</w:t>
      </w:r>
    </w:p>
    <w:p w14:paraId="028ACA5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SHORT TERM (30-90 days):</w:t>
      </w:r>
    </w:p>
    <w:p w14:paraId="21818FED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1. File motion to compel production of 2022 internal pay analysis</w:t>
      </w:r>
    </w:p>
    <w:p w14:paraId="027B378B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2. Identify additional plaintiffs through EEOC charge records</w:t>
      </w:r>
    </w:p>
    <w:p w14:paraId="4C0E7BB4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3. Research </w:t>
      </w:r>
      <w:proofErr w:type="spellStart"/>
      <w:r w:rsidRPr="00985DC6">
        <w:rPr>
          <w:sz w:val="22"/>
          <w:szCs w:val="22"/>
        </w:rPr>
        <w:t>NexaCorp</w:t>
      </w:r>
      <w:proofErr w:type="spellEnd"/>
      <w:r w:rsidRPr="00985DC6">
        <w:rPr>
          <w:sz w:val="22"/>
          <w:szCs w:val="22"/>
        </w:rPr>
        <w:t xml:space="preserve"> executive communications for discriminatory intent</w:t>
      </w:r>
    </w:p>
    <w:p w14:paraId="10042EFD" w14:textId="2C385FCA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4. Assess punitive damages exposure — intentional discrimination required</w:t>
      </w:r>
    </w:p>
    <w:p w14:paraId="0B8B6718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SETTLEMENT CONSIDERATIONS:</w:t>
      </w:r>
    </w:p>
    <w:p w14:paraId="7DFECC9F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Based on 47 plaintiffs, average damages of USD 150,000 per plaintiff,</w:t>
      </w:r>
    </w:p>
    <w:p w14:paraId="32FCE5D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and punitive damages multiplier of 3x, total exposure for </w:t>
      </w:r>
      <w:proofErr w:type="spellStart"/>
      <w:r w:rsidRPr="00985DC6">
        <w:rPr>
          <w:sz w:val="22"/>
          <w:szCs w:val="22"/>
        </w:rPr>
        <w:t>NexaCorp</w:t>
      </w:r>
      <w:proofErr w:type="spellEnd"/>
    </w:p>
    <w:p w14:paraId="2B0A99DD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is estimated between USD 20 million and USD 65 million.</w:t>
      </w:r>
    </w:p>
    <w:p w14:paraId="50BD7991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Early settlement demand recommended at USD 45 million plus injunctive</w:t>
      </w:r>
    </w:p>
    <w:p w14:paraId="40E0D284" w14:textId="065017B8" w:rsid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relief requiring independent pay equity audit.</w:t>
      </w:r>
    </w:p>
    <w:p w14:paraId="34A4D9D0" w14:textId="77777777" w:rsidR="00985DC6" w:rsidRPr="00985DC6" w:rsidRDefault="00985DC6" w:rsidP="00985DC6">
      <w:pPr>
        <w:rPr>
          <w:sz w:val="22"/>
          <w:szCs w:val="22"/>
        </w:rPr>
      </w:pPr>
    </w:p>
    <w:p w14:paraId="6677E80E" w14:textId="3344C858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VII. CONCLUSION</w:t>
      </w:r>
    </w:p>
    <w:p w14:paraId="210E541A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The Rivera et al. class action presents a strong case based on</w:t>
      </w:r>
    </w:p>
    <w:p w14:paraId="3DBD3C51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statistical evidence, internal admissions, and witness testimony.</w:t>
      </w:r>
    </w:p>
    <w:p w14:paraId="1FBFC539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The primary litigation risk is class certification under Wal-Mart v.</w:t>
      </w:r>
    </w:p>
    <w:p w14:paraId="1AFDCE5C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Dukes. We recommend aggressive early discovery and filing for class</w:t>
      </w:r>
    </w:p>
    <w:p w14:paraId="15E2712C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certification within 45 days.</w:t>
      </w:r>
    </w:p>
    <w:p w14:paraId="2B1C5EFB" w14:textId="77777777" w:rsidR="00985DC6" w:rsidRPr="00985DC6" w:rsidRDefault="00985DC6" w:rsidP="00985DC6">
      <w:pPr>
        <w:rPr>
          <w:sz w:val="22"/>
          <w:szCs w:val="22"/>
        </w:rPr>
      </w:pPr>
    </w:p>
    <w:p w14:paraId="7A748D49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Prepared by:</w:t>
      </w:r>
    </w:p>
    <w:p w14:paraId="645D1C02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 xml:space="preserve">James R. Mitchell, </w:t>
      </w:r>
      <w:proofErr w:type="spellStart"/>
      <w:r w:rsidRPr="00985DC6">
        <w:rPr>
          <w:sz w:val="22"/>
          <w:szCs w:val="22"/>
        </w:rPr>
        <w:t>Esq.</w:t>
      </w:r>
      <w:proofErr w:type="spellEnd"/>
    </w:p>
    <w:p w14:paraId="6308678B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Mitchell &amp; Associates Legal Group</w:t>
      </w:r>
    </w:p>
    <w:p w14:paraId="54793223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Austin, Texas</w:t>
      </w:r>
    </w:p>
    <w:p w14:paraId="48853F1B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Date: June 23, 2024</w:t>
      </w:r>
    </w:p>
    <w:p w14:paraId="3AD2D935" w14:textId="77777777" w:rsidR="00985DC6" w:rsidRPr="00985DC6" w:rsidRDefault="00985DC6" w:rsidP="00985DC6">
      <w:pPr>
        <w:rPr>
          <w:sz w:val="22"/>
          <w:szCs w:val="22"/>
        </w:rPr>
      </w:pPr>
    </w:p>
    <w:p w14:paraId="45E39D65" w14:textId="77777777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t>CONFIDENTIAL — ATTORNEY CLIENT PRIVILEGE</w:t>
      </w:r>
    </w:p>
    <w:p w14:paraId="67B2ECA4" w14:textId="481A0F0C" w:rsidR="00985DC6" w:rsidRPr="00985DC6" w:rsidRDefault="00985DC6" w:rsidP="00985DC6">
      <w:pPr>
        <w:rPr>
          <w:sz w:val="22"/>
          <w:szCs w:val="22"/>
        </w:rPr>
      </w:pPr>
      <w:r w:rsidRPr="00985DC6">
        <w:rPr>
          <w:sz w:val="22"/>
          <w:szCs w:val="22"/>
        </w:rPr>
        <w:lastRenderedPageBreak/>
        <w:t>WORK PRODUCT DOCTRINE APPLIES</w:t>
      </w:r>
    </w:p>
    <w:sectPr w:rsidR="00985DC6" w:rsidRPr="00985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C6"/>
    <w:rsid w:val="00466A02"/>
    <w:rsid w:val="0098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27BD6"/>
  <w15:chartTrackingRefBased/>
  <w15:docId w15:val="{CEF4CED1-0107-EB44-9E97-6C4DC74D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Sathish</dc:creator>
  <cp:keywords/>
  <dc:description/>
  <cp:lastModifiedBy>Nishitha Sathish</cp:lastModifiedBy>
  <cp:revision>1</cp:revision>
  <dcterms:created xsi:type="dcterms:W3CDTF">2026-06-23T10:03:00Z</dcterms:created>
  <dcterms:modified xsi:type="dcterms:W3CDTF">2026-06-23T10:07:00Z</dcterms:modified>
</cp:coreProperties>
</file>