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la v7 — MCS Practices / WBES G7</w:t>
      </w:r>
    </w:p>
    <w:p>
      <w:r>
        <w:t>Parties : 1. Architecture et vocabulaire. 2. Plan section par section. 3. Hypothèses restructurées (anglais). 4. Introduction proposée (anglais). 5. Checklist avant soumission. Aucun résultat nouveau n'est introduit : tous les chiffres viennent de la v6.</w:t>
      </w:r>
    </w:p>
    <w:p>
      <w:pPr>
        <w:pStyle w:val="Heading1"/>
      </w:pPr>
      <w:r>
        <w:t>1. Architecture : le triptyque comme colonne vertébrale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Niveau</w:t>
            </w:r>
          </w:p>
        </w:tc>
        <w:tc>
          <w:tcPr>
            <w:tcW w:type="dxa" w:w="2160"/>
          </w:tcPr>
          <w:p>
            <w:r>
              <w:t>Question</w:t>
            </w:r>
          </w:p>
        </w:tc>
        <w:tc>
          <w:tcPr>
            <w:tcW w:type="dxa" w:w="2160"/>
          </w:tcPr>
          <w:p>
            <w:r>
              <w:t>Preuve dans la v6</w:t>
            </w:r>
          </w:p>
        </w:tc>
        <w:tc>
          <w:tcPr>
            <w:tcW w:type="dxa" w:w="2160"/>
          </w:tcPr>
          <w:p>
            <w:r>
              <w:t>Statut</w:t>
            </w:r>
          </w:p>
        </w:tc>
      </w:tr>
      <w:tr>
        <w:tc>
          <w:tcPr>
            <w:tcW w:type="dxa" w:w="2160"/>
          </w:tcPr>
          <w:p>
            <w:r>
              <w:t>1. Universalité des pratiques</w:t>
            </w:r>
          </w:p>
        </w:tc>
        <w:tc>
          <w:tcPr>
            <w:tcW w:type="dxa" w:w="2160"/>
          </w:tcPr>
          <w:p>
            <w:r>
              <w:t>Les établissements adoptent-ils des pratiques similaires ?</w:t>
            </w:r>
          </w:p>
        </w:tc>
        <w:tc>
          <w:tcPr>
            <w:tcW w:type="dxa" w:w="2160"/>
          </w:tcPr>
          <w:p>
            <w:r>
              <w:t>Tableau 1 : suivi 47–92 %, cibles 60–93 %, primes 36–76 %</w:t>
            </w:r>
          </w:p>
        </w:tc>
        <w:tc>
          <w:tcPr>
            <w:tcW w:type="dxa" w:w="2160"/>
          </w:tcPr>
          <w:p>
            <w:r>
              <w:t>Descriptif ; confondu par la taille ; mesure à vérifier</w:t>
            </w:r>
          </w:p>
        </w:tc>
      </w:tr>
      <w:tr>
        <w:tc>
          <w:tcPr>
            <w:tcW w:type="dxa" w:w="2160"/>
          </w:tcPr>
          <w:p>
            <w:r>
              <w:t>2. Universalité des associations</w:t>
            </w:r>
          </w:p>
        </w:tc>
        <w:tc>
          <w:tcPr>
            <w:tcW w:type="dxa" w:w="2160"/>
          </w:tcPr>
          <w:p>
            <w:r>
              <w:t>Les pratiques ont-elles les mêmes associations avec la performance ?</w:t>
            </w:r>
          </w:p>
        </w:tc>
        <w:tc>
          <w:tcPr>
            <w:tcW w:type="dxa" w:w="2160"/>
          </w:tcPr>
          <w:p>
            <w:r>
              <w:t>Tableaux 2–7 : incitations 0,05–0,51 (I² = 79 %), mais fragile sous poids et wild bootstrap ; suivi dans 3 pays ; cibles nulles ; pas d'interactions</w:t>
            </w:r>
          </w:p>
        </w:tc>
        <w:tc>
          <w:tcPr>
            <w:tcW w:type="dxa" w:w="2160"/>
          </w:tcPr>
          <w:p>
            <w:r>
              <w:t>Suggestif pour les incitations seulement</w:t>
            </w:r>
          </w:p>
        </w:tc>
      </w:tr>
      <w:tr>
        <w:tc>
          <w:tcPr>
            <w:tcW w:type="dxa" w:w="2160"/>
          </w:tcPr>
          <w:p>
            <w:r>
              <w:t>3. Portabilité prédictive</w:t>
            </w:r>
          </w:p>
        </w:tc>
        <w:tc>
          <w:tcPr>
            <w:tcW w:type="dxa" w:w="2160"/>
          </w:tcPr>
          <w:p>
            <w:r>
              <w:t>Un modèle estimé ailleurs prédit-il ici ?</w:t>
            </w:r>
          </w:p>
        </w:tc>
        <w:tc>
          <w:tcPr>
            <w:tcW w:type="dxa" w:w="2160"/>
          </w:tcPr>
          <w:p>
            <w:r>
              <w:t>Tableaux 8–9 : N1 ≈ P1 ; HB meilleur sans écart fiable ; LOCO proche du local, l'écart venant des contrôles</w:t>
            </w:r>
          </w:p>
        </w:tc>
        <w:tc>
          <w:tcPr>
            <w:tcW w:type="dxa" w:w="2160"/>
          </w:tcPr>
          <w:p>
            <w:r>
              <w:t>Puissance limitée ; équivalence non établie</w:t>
            </w:r>
          </w:p>
        </w:tc>
      </w:tr>
    </w:tbl>
    <w:p/>
    <w:p>
      <w:r>
        <w:t>Thèse centrale : ces trois niveaux ne coïncident pas. Des pratiques inégalement adoptées (1) et des associations en partie hétérogènes (2) coexistent avec une portabilité prédictive élevée d'un modèle commun (3). Conclure du niveau 2 au niveau 3 (ou l'inverse) est une erreur de raisonnement que l'article documente.</w:t>
      </w:r>
    </w:p>
    <w:p>
      <w:pPr>
        <w:pStyle w:val="Heading2"/>
      </w:pPr>
      <w:r>
        <w:t>Vocabulaire à fixer</w:t>
      </w:r>
    </w:p>
    <w:p>
      <w:pPr>
        <w:pStyle w:val="ListBullet"/>
      </w:pPr>
      <w:r>
        <w:t>transferability (R² hors échantillon) → predictive portability — réserver « transfer » à l'implantation organisationnelle</w:t>
      </w:r>
    </w:p>
    <w:p>
      <w:pPr>
        <w:pStyle w:val="ListBullet"/>
      </w:pPr>
      <w:r>
        <w:t>country-specific model → national-slope model (N1)</w:t>
      </w:r>
    </w:p>
    <w:p>
      <w:pPr>
        <w:pStyle w:val="ListBullet"/>
      </w:pPr>
      <w:r>
        <w:t>heterogeneity → distinguer : heterogeneity of associations (niveau 2) et of adoption (niveau 1)</w:t>
      </w:r>
    </w:p>
    <w:p>
      <w:pPr>
        <w:pStyle w:val="ListBullet"/>
      </w:pPr>
      <w:r>
        <w:t>« conditional transferability » → « predictive portability with limited power »</w:t>
      </w:r>
    </w:p>
    <w:p>
      <w:pPr>
        <w:pStyle w:val="ListBullet"/>
      </w:pPr>
      <w:r>
        <w:t>control model → management-control practices (présence), jamais « control system »</w:t>
      </w:r>
    </w:p>
    <w:p>
      <w:pPr>
        <w:pStyle w:val="Heading2"/>
      </w:pPr>
      <w:r>
        <w:t>Titre (options)</w:t>
      </w:r>
    </w:p>
    <w:p>
      <w:pPr>
        <w:pStyle w:val="ListNumber"/>
      </w:pPr>
      <w:r>
        <w:t>Universal Practices, Heterogeneous Associations, Portable Models? Monitoring, Targets and Incentives in Seven G7 Economies</w:t>
      </w:r>
    </w:p>
    <w:p>
      <w:pPr>
        <w:pStyle w:val="ListNumber"/>
      </w:pPr>
      <w:r>
        <w:t>Heterogeneity Without Predictive Loss: Management Practices and Performance Across Seven G7 Economies</w:t>
      </w:r>
    </w:p>
    <w:p>
      <w:pPr>
        <w:pStyle w:val="ListNumber"/>
      </w:pPr>
      <w:r>
        <w:t>Monitoring, Targets and Incentives: Cross-Country Heterogeneity and Predictive Portability (titre v6 adapté)</w:t>
      </w:r>
    </w:p>
    <w:p>
      <w:pPr>
        <w:pStyle w:val="Heading1"/>
      </w:pPr>
      <w:r>
        <w:t>2. Plan section par section</w:t>
      </w:r>
    </w:p>
    <w:tbl>
      <w:tblPr>
        <w:tblStyle w:val="LightGrid-Accent1"/>
        <w:tblW w:type="auto" w:w="0"/>
        <w:tblLook w:firstColumn="1" w:firstRow="1" w:lastColumn="0" w:lastRow="0" w:noHBand="0" w:noVBand="1" w:val="04A0"/>
      </w:tblPr>
      <w:tblGrid>
        <w:gridCol w:w="4320"/>
        <w:gridCol w:w="4320"/>
      </w:tblGrid>
      <w:tr>
        <w:tc>
          <w:tcPr>
            <w:tcW w:type="dxa" w:w="4320"/>
          </w:tcPr>
          <w:p>
            <w:r>
              <w:t>Section</w:t>
            </w:r>
          </w:p>
        </w:tc>
        <w:tc>
          <w:tcPr>
            <w:tcW w:type="dxa" w:w="4320"/>
          </w:tcPr>
          <w:p>
            <w:r>
              <w:t>Travail</w:t>
            </w:r>
          </w:p>
        </w:tc>
      </w:tr>
      <w:tr>
        <w:tc>
          <w:tcPr>
            <w:tcW w:type="dxa" w:w="4320"/>
          </w:tcPr>
          <w:p>
            <w:r>
              <w:t>Résumé</w:t>
            </w:r>
          </w:p>
        </w:tc>
        <w:tc>
          <w:tcPr>
            <w:tcW w:type="dxa" w:w="4320"/>
          </w:tcPr>
          <w:p>
            <w:r>
              <w:t>Remplacer par la version B du rapport, restructurée par niveau (adoption, associations, portabilité). Maximum 200 mots.</w:t>
            </w:r>
          </w:p>
        </w:tc>
      </w:tr>
      <w:tr>
        <w:tc>
          <w:tcPr>
            <w:tcW w:type="dxa" w:w="4320"/>
          </w:tcPr>
          <w:p>
            <w:r>
              <w:t>1. Introduction</w:t>
            </w:r>
          </w:p>
        </w:tc>
        <w:tc>
          <w:tcPr>
            <w:tcW w:type="dxa" w:w="4320"/>
          </w:tcPr>
          <w:p>
            <w:r>
              <w:t>Réécrire (section 4 ci-dessous). Ouvrir par la question de portabilité, introduire le triptyque, annoncer deux contributions principales (distinction des trois niveaux ; heterogeneity ≠ predictive loss) et une contribution secondaire au contrôle de gestion.</w:t>
            </w:r>
          </w:p>
        </w:tc>
      </w:tr>
      <w:tr>
        <w:tc>
          <w:tcPr>
            <w:tcW w:type="dxa" w:w="4320"/>
          </w:tcPr>
          <w:p>
            <w:r>
              <w:t>2. Cadre théorique</w:t>
            </w:r>
          </w:p>
        </w:tc>
        <w:tc>
          <w:tcPr>
            <w:tcW w:type="dxa" w:w="4320"/>
          </w:tcPr>
          <w:p>
            <w:r>
              <w:t>Réduire à trois blocs : 2.1 Management as a technology (Bloom et al., 2007, 2012, 2013, 2016 ; Scur et al., 2021) ; 2.2 Du transfert à l'institutionnalisation (Kostova, 1999 ; Kostova &amp; Roth, 2002 ; Meyer &amp; Rowan, 1977) avec la mise en garde : cadre conçu pour les transferts intra-multinationales ; 2.3 Implications pour les mécanismes de contrôle (Malmi &amp; Brown, 2008 ; Grabner &amp; Moers, 2013), en une page. Déplacer Simons, Ouchi, Otley, Tessier &amp; Otley, Ferreira &amp; Otley et l'annexe A vers la discussion ou un appendice en ligne.</w:t>
            </w:r>
          </w:p>
        </w:tc>
      </w:tr>
      <w:tr>
        <w:tc>
          <w:tcPr>
            <w:tcW w:type="dxa" w:w="4320"/>
          </w:tcPr>
          <w:p>
            <w:r>
              <w:t>3. Hypothèses</w:t>
            </w:r>
          </w:p>
        </w:tc>
        <w:tc>
          <w:tcPr>
            <w:tcW w:type="dxa" w:w="4320"/>
          </w:tcPr>
          <w:p>
            <w:r>
              <w:t>Restructurer par niveau (section 3 ci-dessous). Ajouter une phrase : HB et les robustesses ont été ajoutés après l'exploration.</w:t>
            </w:r>
          </w:p>
        </w:tc>
      </w:tr>
      <w:tr>
        <w:tc>
          <w:tcPr>
            <w:tcW w:type="dxa" w:w="4320"/>
          </w:tcPr>
          <w:p>
            <w:r>
              <w:t>4. Données et mesure</w:t>
            </w:r>
          </w:p>
        </w:tc>
        <w:tc>
          <w:tcPr>
            <w:tcW w:type="dxa" w:w="4320"/>
          </w:tcPr>
          <w:p>
            <w:r>
              <w:t>Après vérification des questionnaires : tableau de correspondance des libellés (original / traduction / statut) pour r2, r3, r4, r5, r8. Section sur l'invariance : ce qui est testable (aucun test sur 3 binaires) et ce que l'on fait à la place (cohérence des profils, ex. Japon).</w:t>
            </w:r>
          </w:p>
        </w:tc>
      </w:tr>
      <w:tr>
        <w:tc>
          <w:tcPr>
            <w:tcW w:type="dxa" w:w="4320"/>
          </w:tcPr>
          <w:p>
            <w:r>
              <w:t>5. Stratégie empirique</w:t>
            </w:r>
          </w:p>
        </w:tc>
        <w:tc>
          <w:tcPr>
            <w:tcW w:type="dxa" w:w="4320"/>
          </w:tcPr>
          <w:p>
            <w:r>
              <w:t>Organiser par niveau. Définir « practice-only transfer » ; mentionner la dépendance entre cibles du LOCO.</w:t>
            </w:r>
          </w:p>
        </w:tc>
      </w:tr>
      <w:tr>
        <w:tc>
          <w:tcPr>
            <w:tcW w:type="dxa" w:w="4320"/>
          </w:tcPr>
          <w:p>
            <w:r>
              <w:t>6. Résultats</w:t>
            </w:r>
          </w:p>
        </w:tc>
        <w:tc>
          <w:tcPr>
            <w:tcW w:type="dxa" w:w="4320"/>
          </w:tcPr>
          <w:p>
            <w:r>
              <w:t>6.1 Niveau 1 (Tableau 1) ; 6.2–6.5 Niveau 2 ; 6.6–6.8 Niveau 3. Ajouter une analyse Canada/Italie sous poids, incitations × taille par pays, discussion de l'hétérogénéité cibles × croissance des ventes. Rapporter la différence combinée local − LOCO pratiques seules avec IC.</w:t>
            </w:r>
          </w:p>
        </w:tc>
      </w:tr>
      <w:tr>
        <w:tc>
          <w:tcPr>
            <w:tcW w:type="dxa" w:w="4320"/>
          </w:tcPr>
          <w:p>
            <w:r>
              <w:t>7. Discussion</w:t>
            </w:r>
          </w:p>
        </w:tc>
        <w:tc>
          <w:tcPr>
            <w:tcW w:type="dxa" w:w="4320"/>
          </w:tcPr>
          <w:p>
            <w:r>
              <w:t>7.1 Un tableau « ce qui est universel / hétérogène / portable ». 7.2 Portabilité prédictive ≠ transfert organisationnel (objection centrale). 7.3 Contribution au contrôle de gestion : ce que la présence de suivi, de cibles et de primes permet de dire, et ce qu'elle ne permet pas. 7.4 Ce qui ne peut pas être conclu.</w:t>
            </w:r>
          </w:p>
        </w:tc>
      </w:tr>
      <w:tr>
        <w:tc>
          <w:tcPr>
            <w:tcW w:type="dxa" w:w="4320"/>
          </w:tcPr>
          <w:p>
            <w:r>
              <w:t>8–9. Contributions, implications</w:t>
            </w:r>
          </w:p>
        </w:tc>
        <w:tc>
          <w:tcPr>
            <w:tcW w:type="dxa" w:w="4320"/>
          </w:tcPr>
          <w:p>
            <w:r>
              <w:t>Deux contributions principales + une secondaire ; implications limitées à la prudence sur l'extrapolation de coefficients.</w:t>
            </w:r>
          </w:p>
        </w:tc>
      </w:tr>
      <w:tr>
        <w:tc>
          <w:tcPr>
            <w:tcW w:type="dxa" w:w="4320"/>
          </w:tcPr>
          <w:p>
            <w:r>
              <w:t>10. Limites</w:t>
            </w:r>
          </w:p>
        </w:tc>
        <w:tc>
          <w:tcPr>
            <w:tcW w:type="dxa" w:w="4320"/>
          </w:tcPr>
          <w:p>
            <w:r>
              <w:t>Reprendre la liste v6 ; ajouter le caractère descriptif de l'identification (pas de causalité).</w:t>
            </w:r>
          </w:p>
        </w:tc>
      </w:tr>
      <w:tr>
        <w:tc>
          <w:tcPr>
            <w:tcW w:type="dxa" w:w="4320"/>
          </w:tcPr>
          <w:p>
            <w:r>
              <w:t>Références</w:t>
            </w:r>
          </w:p>
        </w:tc>
        <w:tc>
          <w:tcPr>
            <w:tcW w:type="dxa" w:w="4320"/>
          </w:tcPr>
          <w:p>
            <w:r>
              <w:t>Garder le noyau ; ajouter Gibbons &amp; Roberts (si le volet incitations est développé) ; vérifier chaque référence contre le texte.</w:t>
            </w:r>
          </w:p>
        </w:tc>
      </w:tr>
    </w:tbl>
    <w:p>
      <w:pPr>
        <w:pStyle w:val="Heading1"/>
      </w:pPr>
      <w:r>
        <w:t>3. Hypotheses restructured by level (English)</w:t>
      </w:r>
    </w:p>
    <w:p>
      <w:r>
        <w:t>Formulated after an earlier exploratory phase on the same data and not pre-registered. The partial-pooling model (HB) and the robustness checks of Section 6.4 were added after that phase.</w:t>
      </w:r>
    </w:p>
    <w:p>
      <w:pPr>
        <w:pStyle w:val="ListBullet"/>
      </w:pPr>
      <w:r>
        <w:t>Level 1 — universality of practices. H1. Adoption of monitoring, targets and incentive-linked bonuses differs across countries (descriptive; not interpreted as an institutional effect).</w:t>
      </w:r>
    </w:p>
    <w:p>
      <w:pPr>
        <w:pStyle w:val="ListBullet"/>
      </w:pPr>
      <w:r>
        <w:t>Level 2 — universality of associations. H2a. Each practice is positively associated with productivity (supported for monitoring and incentives, not for targets). H2b. The association of each practice differs across countries (suggestively supported for incentives only). H2c. Practices are associated with productivity jointly and contingently, beyond their individual associations (not supported).</w:t>
      </w:r>
    </w:p>
    <w:p>
      <w:pPr>
        <w:pStyle w:val="ListBullet"/>
      </w:pPr>
      <w:r>
        <w:t>Level 3 — predictive portability. H3a. A common-slope model is not predictively inferior to country-specific slopes, despite heterogeneity in H2b, because the explained variance is small relative to the cost of estimating additional slopes. H3b. Models estimated in a single country port less well than models estimated on several countries. H3c. A partial-pooling model performs at least as well as the two extremes.</w:t>
      </w:r>
    </w:p>
    <w:p>
      <w:pPr>
        <w:pStyle w:val="ListBullet"/>
      </w:pPr>
      <w:r>
        <w:t>Boundary statement. Predictive portability is not organisational transfer: a model that predicts well in another country does not show that implementing the same practices there would produce the same performance.</w:t>
      </w:r>
    </w:p>
    <w:p>
      <w:pPr>
        <w:pStyle w:val="Heading1"/>
      </w:pPr>
      <w:r>
        <w:t>4. Proposed introduction (English)</w:t>
      </w:r>
    </w:p>
    <w:p>
      <w:r>
        <w:t>Structured management practices — monitoring performance, setting targets and linking rewards to them — are among the most widely studied correlates of firm productivity (Bloom &amp; Van Reenen, 2007) and have been described as a transferable managerial technology (Bloom, Sadun &amp; Van Reenen, 2016). Evidence from a field experiment in Indian textile firms indicates that adopting such practices can be followed by productivity gains (Bloom et al., 2013). If practices behave like a technology, models of their association with performance estimated in one country should carry over to others, and policy or managerial advice based on them should travel. Yet the same literature documents wide variation in the adoption of practices across firms and countries (Bloom et al., 2012; Scur et al., 2021), and work on the international transfer of organisational practices stresses that formal adoption is not the same as institutionalisation in the receiving unit (Kostova, 1999; Kostova &amp; Roth, 2002).</w:t>
      </w:r>
    </w:p>
    <w:p>
      <w:r>
        <w:t>This article argues that three notions are routinely run together under the heading of universality. The first is universality of practices: whether establishments in different countries adopt similar practices. The second is universality of associations: whether those practices have the same association with performance. The third is predictive portability: whether a model estimated in one context predicts outcomes in another. The three need not coincide. Practices can be adopted unevenly while associated with performance in a similar way; associations can differ across countries while a common model predicts almost as well as country-specific ones, because the share of variance that practices explain is small relative to the cost of estimating additional slopes.</w:t>
      </w:r>
    </w:p>
    <w:p>
      <w:r>
        <w:t>We examine the three notions with World Bank Enterprise Surveys for seven G7 economies in 2024–2025 (6,316 establishments in the management-practices module, mostly with 20 or more employees), using three observable practices: monitoring, targets and target-linked bonuses. Adoption differs markedly across countries (for example, target-linked bonuses range from 36% of establishments in Italy to 76% in the United Kingdom). Incentives and monitoring are associated with higher productivity (about 22% and 13% respectively), targets are not, and no joint effects or reliable organisational contingencies are found. The association of incentives ranges from about 66% in Canada to about 5% in France; this heterogeneity does not depend on outliers or on any single country but is not statistically significant after Holm correction under wild cluster bootstrap inference and weakens with sampling weights. Despite it, a common model of the three practices is not detectably improved on out of sample by country-specific or contingent slopes, and a model estimated on the other six countries ports close to a local one. The comparisons have limited power and we do not claim equivalence.</w:t>
      </w:r>
    </w:p>
    <w:p>
      <w:r>
        <w:t>The article makes two contributions. First, it separates universality of practices, of associations and of predictive models, and shows empirically that the three can diverge: heterogeneity of associations does not by itself imply that country-specific models predict better. Second, it quantifies why, by comparing the gain that exactly known country slopes would offer with the cost of estimating them, and by showing that partial pooling lies between the extremes. The contribution is a clarification of what heterogeneity tests and predictive tests can and cannot answer, not a new method. A secondary contribution concerns management control: reading monitoring, targets and incentives as observable cybernetic, results and reward mechanisms (Malmi &amp; Brown, 2008), we state precisely what presence-based data can say about them and what requires information on integration and use that the surveys do not contain.</w:t>
      </w:r>
    </w:p>
    <w:p>
      <w:r>
        <w:t>The evidence is cross-sectional and concerns reported practices measured by single binary items whose wording we could only partly verify. Associations are conditional on sector-by-country effects, size and age and are not causal. Predictive portability is not organisational transfer: a model that predicts well in another country does not show that implementing the same practices there would produce the same performance.</w:t>
      </w:r>
    </w:p>
    <w:p>
      <w:r>
        <w:t>À vérifier avant usage : les chiffres sont ceux de la v6 ; la phrase sur les libellés dépend de la vérification des questionnaires ; la mention de Bloom et al. (2013) reflète la description de la v6 (lecture au niveau du résumé).</w:t>
      </w:r>
    </w:p>
    <w:p>
      <w:pPr>
        <w:pStyle w:val="Heading1"/>
      </w:pPr>
      <w:r>
        <w:t>5. Checklist avant soumission</w:t>
      </w:r>
    </w:p>
    <w:p>
      <w:pPr>
        <w:pStyle w:val="ListBullet"/>
      </w:pPr>
      <w:r>
        <w:t>Vérifier les libellés r2, r3, r4, r5, r8 (et r1, r9 si utilisés) contre les questionnaires WBES ; lever la phrase « the author has not read the questionnaires ».</w:t>
      </w:r>
    </w:p>
    <w:p>
      <w:pPr>
        <w:pStyle w:val="ListBullet"/>
      </w:pPr>
      <w:r>
        <w:t>Documenter la relation r4/r8 et le profil du Japon avec les libellés originaux.</w:t>
      </w:r>
    </w:p>
    <w:p>
      <w:pPr>
        <w:pStyle w:val="ListBullet"/>
      </w:pPr>
      <w:r>
        <w:t>Calculer et rapporter la différence combinée local − LOCO « pratiques seules » avec IC ; préciser la dépendance entre cibles.</w:t>
      </w:r>
    </w:p>
    <w:p>
      <w:pPr>
        <w:pStyle w:val="ListBullet"/>
      </w:pPr>
      <w:r>
        <w:t>Présenter ou retirer l'analyse du score global (88 %, 0,020) ; sinon atténuer la contribution « score masque ».</w:t>
      </w:r>
    </w:p>
    <w:p>
      <w:pPr>
        <w:pStyle w:val="ListBullet"/>
      </w:pPr>
      <w:r>
        <w:t>Analyser l'effet des poids sur le Canada et l'Italie ; incitations × taille par pays.</w:t>
      </w:r>
    </w:p>
    <w:p>
      <w:pPr>
        <w:pStyle w:val="ListBullet"/>
      </w:pPr>
      <w:r>
        <w:t>Discuter l'hétérogénéité cibles × croissance des ventes (bootstrap p = 0,006 ; Holm 0,054) et le test joint emploi (p = 0,033).</w:t>
      </w:r>
    </w:p>
    <w:p>
      <w:pPr>
        <w:pStyle w:val="ListBullet"/>
      </w:pPr>
      <w:r>
        <w:t>Harmoniser « truncated »/« winsorised » ; renommer la ligne « wmedian » du Tableau 6.</w:t>
      </w:r>
    </w:p>
    <w:p>
      <w:pPr>
        <w:pStyle w:val="ListBullet"/>
      </w:pPr>
      <w:r>
        <w:t>Supprimer le langage de processus (« earlier versions », « retained from the earlier analysis ») et la phrase finale de « Future research ».</w:t>
      </w:r>
    </w:p>
    <w:p>
      <w:pPr>
        <w:pStyle w:val="ListBullet"/>
      </w:pPr>
      <w:r>
        <w:t>Choisir la revue (management général ou contrôle de gestion), vérifier son statut Scopus/Q1 pour l'année et la catégorie, et adapter la longueur et le cadre.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