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4"/>
          <w:szCs w:val="34"/>
        </w:rPr>
        <w:t xml:space="preserve">Monitoring, Targets and Incentives: Cross-Country Heterogeneity and Transferability of Control-Practice Associations with Performance</w:t>
      </w:r>
    </w:p>
    <w:p>
      <w:pPr>
        <w:spacing w:after="240"/>
        <w:jc w:val="center"/>
      </w:pPr>
      <w:r>
        <w:rPr>
          <w:rFonts w:ascii="Times New Roman" w:cs="Times New Roman" w:eastAsia="Times New Roman" w:hAnsi="Times New Roman"/>
          <w:i/>
          <w:iCs/>
          <w:sz w:val="25"/>
          <w:szCs w:val="25"/>
        </w:rPr>
        <w:t xml:space="preserve">Evidence from the World Bank Enterprise Surveys, seven G7 economies, 2024–2025</w:t>
      </w:r>
    </w:p>
    <w:p>
      <w:pPr>
        <w:spacing w:after="360"/>
        <w:jc w:val="center"/>
      </w:pPr>
      <w:r>
        <w:rPr>
          <w:rFonts w:ascii="Times New Roman" w:cs="Times New Roman" w:eastAsia="Times New Roman" w:hAnsi="Times New Roman"/>
          <w:sz w:val="22"/>
          <w:szCs w:val="22"/>
        </w:rPr>
        <w:t xml:space="preserve">[Author name(s) and affiliation(s)] — Revised draft for internal review (version 6)</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00"/>
        <w:jc w:val="both"/>
      </w:pPr>
      <w:r>
        <w:rPr>
          <w:rFonts w:ascii="Times New Roman" w:cs="Times New Roman" w:eastAsia="Times New Roman" w:hAnsi="Times New Roman"/>
        </w:rPr>
        <w:t xml:space="preserve">Monitoring, target setting and incentives are the structured management practices used by Bloom and Van Reenen (2007) and correspond to core mechanisms of management control. Using the World Bank Enterprise Surveys for seven G7 economies (6,316 establishments, mostly with 20 or more employees), we examine their individual and joint associations with performance, their stability across countries and organisational contexts, and the transferability of models of these associations. Incentives are most strongly associated with productivity (about 22% higher sales per employee) and monitoring less so (about 13%); targets are not. The association of incentives appears to vary across countries, from about 66% in Canada to about 5% in France, but this heterogeneity is robust to outliers and to excluding any country yet fragile under weights and wild cluster inference. No joint effects among practices and no reliable organisational contingencies are found. A common model of the three practices is not detectably improved on out of sample by country-specific or contingent slopes: the explained variance is small relative to the cost of estimating additional slopes, and a partial-pooling model gives the best point estimate without reliable difference. Single-country models transfer worse than local models in most pairs, about half of the loss coming from the controls, whereas a model estimated on the other six countries is close to, but detectably slightly worse than, a local one. The comparisons have limited power and do not establish equivalence; the findings do not show that each country needs its own control model. Integration and use of controls, institutional characteristics and the wording of several items could not be examined or verified. All results are exploratory cross-sectional associations.</w:t>
      </w:r>
    </w:p>
    <w:p>
      <w:pPr>
        <w:spacing w:after="12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management control practices; monitoring, targets and incentives; transferability; heterogeneity across countries; predictive validation; World Bank Enterprise Surveys</w:t>
      </w:r>
    </w:p>
    <w:p>
      <w:r>
        <w:br w:type="page"/>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00"/>
        <w:jc w:val="both"/>
      </w:pPr>
      <w:r>
        <w:rPr>
          <w:rFonts w:ascii="Times New Roman" w:cs="Times New Roman" w:eastAsia="Times New Roman" w:hAnsi="Times New Roman"/>
        </w:rPr>
        <w:t xml:space="preserve">Monitoring, target setting and incentives are the structured management practices that Bloom and Van Reenen (2007) use to measure management and relate it to productivity, and that later work treats as a transferable managerial technology (Bloom, Sadun &amp; Van Reenen, 2016). They also correspond to core mechanisms of management control: measuring results, setting objectives and rewarding performance. This article starts from these three observable practices and asks whether they show the same individual and joint associations with performance in seven advanced economies, and how far a model estimated in one country, or in several, transfers to another.</w:t>
      </w:r>
    </w:p>
    <w:p>
      <w:pPr>
        <w:spacing w:after="120" w:line="300"/>
        <w:jc w:val="both"/>
      </w:pPr>
      <w:r>
        <w:rPr>
          <w:rFonts w:ascii="Times New Roman" w:cs="Times New Roman" w:eastAsia="Times New Roman" w:hAnsi="Times New Roman"/>
        </w:rPr>
        <w:t xml:space="preserve">The reasoning proceeds in two steps. First, the practices are measured as the World Bank Enterprise Surveys (WBES) record them and related to performance separately, in combination and across contexts. Second, the control literature (Malmi &amp; Brown, 2008; Grabner &amp; Moers, 2013; Simons, 1995) and the general management literature on contingency and institutions (Lawrence &amp; Lorsch, 1967; Meyer &amp; Rowan, 1977; Kostova, 1999) are used to interpret what the associations can and cannot mean. The WBES items are therefore not treated as an incomplete questionnaire for any particular control framework; they are the observable practices from which propositions of those frameworks are put to the test.</w:t>
      </w:r>
    </w:p>
    <w:p>
      <w:pPr>
        <w:spacing w:after="120" w:line="300"/>
        <w:jc w:val="both"/>
      </w:pPr>
      <w:r>
        <w:rPr>
          <w:rFonts w:ascii="Times New Roman" w:cs="Times New Roman" w:eastAsia="Times New Roman" w:hAnsi="Times New Roman"/>
        </w:rPr>
        <w:t xml:space="preserve">The proposition examined is the following: although structured management practices are commonly conceptualised as transferable managerial technologies, their relationship with organisational performance may depend not only on their individual adoption but also on how monitoring, target-setting and incentive mechanisms are combined across organisational and national contexts. It is formulated as a proposition to test, not as a result. Three levels of analysis follow: (1) the association of each practice with performance, (2) the combinations of practices, and (3) the stability and transferability of these associations across organisational and national contexts.</w:t>
      </w:r>
    </w:p>
    <w:p>
      <w:pPr>
        <w:spacing w:after="120" w:line="300"/>
        <w:jc w:val="both"/>
      </w:pPr>
      <w:r>
        <w:rPr>
          <w:rFonts w:ascii="Times New Roman" w:cs="Times New Roman" w:eastAsia="Times New Roman" w:hAnsi="Times New Roman"/>
        </w:rPr>
        <w:t xml:space="preserve">The evidence is cross-sectional, concerns reported practices, and cannot show whether practices are integrated into decision-making or how they are used; mechanisms of integration and use are therefore treated as theoretical explanations to be tested with other data.</w:t>
      </w:r>
    </w:p>
    <w:p>
      <w:pPr>
        <w:pStyle w:val="Heading1"/>
        <w:spacing w:after="160" w:before="360"/>
      </w:pPr>
      <w:r>
        <w:rPr>
          <w:rFonts w:ascii="Times New Roman" w:cs="Times New Roman" w:eastAsia="Times New Roman" w:hAnsi="Times New Roman"/>
          <w:b/>
          <w:bCs/>
          <w:sz w:val="28"/>
          <w:szCs w:val="28"/>
        </w:rPr>
        <w:t xml:space="preserve">2. Theoretical framework</w:t>
      </w:r>
    </w:p>
    <w:p>
      <w:pPr>
        <w:spacing w:after="120" w:line="300"/>
        <w:jc w:val="both"/>
      </w:pPr>
      <w:r>
        <w:rPr>
          <w:rFonts w:ascii="Times New Roman" w:cs="Times New Roman" w:eastAsia="Times New Roman" w:hAnsi="Times New Roman"/>
          <w:i/>
          <w:iCs/>
        </w:rPr>
        <w:t xml:space="preserve">Verification note: bibliographic records were checked against publisher, repository or database records; full texts were not consulted, so statements are limited to what abstracts and records state.</w:t>
      </w:r>
    </w:p>
    <w:p>
      <w:pPr>
        <w:pStyle w:val="Heading2"/>
        <w:spacing w:after="120" w:before="240"/>
      </w:pPr>
      <w:r>
        <w:rPr>
          <w:rFonts w:ascii="Times New Roman" w:cs="Times New Roman" w:eastAsia="Times New Roman" w:hAnsi="Times New Roman"/>
          <w:b/>
          <w:bCs/>
          <w:sz w:val="24"/>
          <w:szCs w:val="24"/>
        </w:rPr>
        <w:t xml:space="preserve">2.1 Structured management practices as the measurable starting point</w:t>
      </w:r>
    </w:p>
    <w:p>
      <w:pPr>
        <w:spacing w:after="120" w:line="300"/>
        <w:jc w:val="both"/>
      </w:pPr>
      <w:r>
        <w:rPr>
          <w:rFonts w:ascii="Times New Roman" w:cs="Times New Roman" w:eastAsia="Times New Roman" w:hAnsi="Times New Roman"/>
        </w:rPr>
        <w:t xml:space="preserve">Bloom and Van Reenen (2007) measure practices of monitoring, target setting and incentives and relate them to productivity; later work reviews why practices differ across firms and countries (Bloom &amp; Van Reenen, 2010) and asks whether management is better seen as a technology than as a contingent style (Bloom, Sadun &amp; Van Reenen, 2016). Bloom, Genakos, Sadun and Van Reenen (2012) document wide variation in practices across firms and countries, Bloom et al. (2013) report a randomised field experiment in Indian textile firms in which adopting management practices was followed by productivity gains, and Scur et al. (2021) review what the World Management Survey has taught about measurement. The universalist reading predicts a common association between practices and performance, with countries differing mainly in adoption. This is the benchmark against which the present article defines heterogeneity.</w:t>
      </w:r>
    </w:p>
    <w:p>
      <w:pPr>
        <w:pStyle w:val="Heading2"/>
        <w:spacing w:after="120" w:before="240"/>
      </w:pPr>
      <w:r>
        <w:rPr>
          <w:rFonts w:ascii="Times New Roman" w:cs="Times New Roman" w:eastAsia="Times New Roman" w:hAnsi="Times New Roman"/>
          <w:b/>
          <w:bCs/>
          <w:sz w:val="24"/>
          <w:szCs w:val="24"/>
        </w:rPr>
        <w:t xml:space="preserve">2.2 Bridge to management control</w:t>
      </w:r>
    </w:p>
    <w:p>
      <w:pPr>
        <w:spacing w:after="120" w:line="300"/>
        <w:jc w:val="both"/>
      </w:pPr>
      <w:r>
        <w:rPr>
          <w:rFonts w:ascii="Times New Roman" w:cs="Times New Roman" w:eastAsia="Times New Roman" w:hAnsi="Times New Roman"/>
        </w:rPr>
        <w:t xml:space="preserve">Monitoring corresponds to cybernetic and diagnostic control (measuring and tracking results), targets to planning and results control (setting objectives and orienting behaviour), and incentives to reward control (aligning effort and rewards); the categories follow Malmi and Brown (2008) and, for results controls, Merchant and Van der Stede (2017). Ferreira and Otley (2009) and Otley (1999) describe performance management systems through areas of targets, rewards and information flows that these practices also cover. The correspondence is interpretive. The three practices are not a complete control system: belief and boundary systems, interactive use, administrative and cultural controls, and internal consistency are not observed, so the study concerns </w:t>
      </w:r>
      <w:r>
        <w:rPr>
          <w:rFonts w:ascii="Times New Roman" w:cs="Times New Roman" w:eastAsia="Times New Roman" w:hAnsi="Times New Roman"/>
          <w:i/>
          <w:iCs/>
        </w:rPr>
        <w:t xml:space="preserve">observable management control practices</w:t>
      </w:r>
      <w:r>
        <w:rPr>
          <w:rFonts w:ascii="Times New Roman" w:cs="Times New Roman" w:eastAsia="Times New Roman" w:hAnsi="Times New Roman"/>
        </w:rPr>
        <w:t xml:space="preserve">.</w:t>
      </w:r>
    </w:p>
    <w:p>
      <w:pPr>
        <w:pStyle w:val="Heading2"/>
        <w:spacing w:after="120" w:before="240"/>
      </w:pPr>
      <w:r>
        <w:rPr>
          <w:rFonts w:ascii="Times New Roman" w:cs="Times New Roman" w:eastAsia="Times New Roman" w:hAnsi="Times New Roman"/>
          <w:b/>
          <w:bCs/>
          <w:sz w:val="24"/>
          <w:szCs w:val="24"/>
        </w:rPr>
        <w:t xml:space="preserve">2.3 Why combinations matter</w:t>
      </w:r>
    </w:p>
    <w:p>
      <w:pPr>
        <w:spacing w:after="120" w:line="300"/>
        <w:jc w:val="both"/>
      </w:pPr>
      <w:r>
        <w:rPr>
          <w:rFonts w:ascii="Times New Roman" w:cs="Times New Roman" w:eastAsia="Times New Roman" w:hAnsi="Times New Roman"/>
        </w:rPr>
        <w:t xml:space="preserve">Malmi and Brown (2008) argue that controls should be studied as a package, and Grabner and Moers (2013) distinguish a package from a system with internal consistency. Simons (1995) and Tessier and Otley (2012) show that effects depend on how controls are used. Combinations may therefore matter beyond individual practices: a firm that tracks indicators without targets differs from one that also links them to targets and rewards. Complementarity in the sense of supermodularity (Milgrom &amp; Roberts, 1995) is stronger than a statistical interaction, and cross-sectional tests of complementarity can be biased (Athey &amp; Stern, 1998). Ichniowski, Shaw and Prennushi (1997) find, in 36 steel finishing lines, that lines combining innovative practices (including incentive pay) reached higher productivity than lines with traditional practices, which they interpret as consistent with complementarities; Lazear (2000) studies a switch to piece rates in one firm and examines effects on output per worker, workforce quality and output variance. Interactions among practices are thus treated as statistical interaction, not as evidence of integration.</w:t>
      </w:r>
    </w:p>
    <w:p>
      <w:pPr>
        <w:pStyle w:val="Heading2"/>
        <w:spacing w:after="120" w:before="240"/>
      </w:pPr>
      <w:r>
        <w:rPr>
          <w:rFonts w:ascii="Times New Roman" w:cs="Times New Roman" w:eastAsia="Times New Roman" w:hAnsi="Times New Roman"/>
          <w:b/>
          <w:bCs/>
          <w:sz w:val="24"/>
          <w:szCs w:val="24"/>
        </w:rPr>
        <w:t xml:space="preserve">2.4 Contingency</w:t>
      </w:r>
    </w:p>
    <w:p>
      <w:pPr>
        <w:spacing w:after="120" w:line="300"/>
        <w:jc w:val="both"/>
      </w:pPr>
      <w:r>
        <w:rPr>
          <w:rFonts w:ascii="Times New Roman" w:cs="Times New Roman" w:eastAsia="Times New Roman" w:hAnsi="Times New Roman"/>
        </w:rPr>
        <w:t xml:space="preserve">Contingency theory holds that performance depends on fit between practices and conditions (Lawrence &amp; Lorsch, 1967; Donaldson, 2001); forms of fit differ (Drazin &amp; Van de Ven, 1985), and the contingency literature on control is reviewed by Chenhall (2003) and Otley (2016), who doubts that a predictive search for optimal systems can succeed. Organisational contingencies observed in WBES are size, age, ownership, exports and manager characteristics.</w:t>
      </w:r>
    </w:p>
    <w:p>
      <w:pPr>
        <w:pStyle w:val="Heading2"/>
        <w:spacing w:after="120" w:before="240"/>
      </w:pPr>
      <w:r>
        <w:rPr>
          <w:rFonts w:ascii="Times New Roman" w:cs="Times New Roman" w:eastAsia="Times New Roman" w:hAnsi="Times New Roman"/>
          <w:b/>
          <w:bCs/>
          <w:sz w:val="24"/>
          <w:szCs w:val="24"/>
        </w:rPr>
        <w:t xml:space="preserve">2.5 Institutional theory and transferability</w:t>
      </w:r>
    </w:p>
    <w:p>
      <w:pPr>
        <w:spacing w:after="120" w:line="300"/>
        <w:jc w:val="both"/>
      </w:pPr>
      <w:r>
        <w:rPr>
          <w:rFonts w:ascii="Times New Roman" w:cs="Times New Roman" w:eastAsia="Times New Roman" w:hAnsi="Times New Roman"/>
        </w:rPr>
        <w:t xml:space="preserve">Formal practices may be adopted for legitimacy and decoupled from operations (Meyer &amp; Rowan, 1977; Zbaracki, 1998), isomorphic pressures make organisations similar (DiMaggio &amp; Powell, 1983), and national institutional arrangements differ (Hall &amp; Soskice, 2001). Transfer success depends on institutionalisation at the receiving unit, the institutional profile of the country and organisational context (Kostova, 1999), and adoption can be ceremonial (Kostova &amp; Roth, 2002). Culture, institutions and country fixed effects are different things: McSweeney (2002) criticises treating national cultures as causal entities, and Harrison and McKinnon (1999) review the difficulties of cross-cultural control research. The data contain only country identifiers, which are not measures of culture or institutions.</w:t>
      </w:r>
    </w:p>
    <w:p>
      <w:pPr>
        <w:pStyle w:val="Heading2"/>
        <w:spacing w:after="120" w:before="240"/>
      </w:pPr>
      <w:r>
        <w:rPr>
          <w:rFonts w:ascii="Times New Roman" w:cs="Times New Roman" w:eastAsia="Times New Roman" w:hAnsi="Times New Roman"/>
          <w:b/>
          <w:bCs/>
          <w:sz w:val="24"/>
          <w:szCs w:val="24"/>
        </w:rPr>
        <w:t xml:space="preserve">2.6 Exploratory methods</w:t>
      </w:r>
    </w:p>
    <w:p>
      <w:pPr>
        <w:spacing w:after="120" w:line="300"/>
        <w:jc w:val="both"/>
      </w:pPr>
      <w:r>
        <w:rPr>
          <w:rFonts w:ascii="Times New Roman" w:cs="Times New Roman" w:eastAsia="Times New Roman" w:hAnsi="Times New Roman"/>
        </w:rPr>
        <w:t xml:space="preserve">Nielsen (2022) argues for exploratory data analysis and unsupervised learning in management accounting. Latent class and continuous latent-variable models are used here only as complementary analyses of the structure of the items; statistical structure is not theoretical interpretation.</w:t>
      </w:r>
    </w:p>
    <w:p>
      <w:pPr>
        <w:keepNext/>
        <w:spacing w:before="120"/>
        <w:jc w:val="center"/>
      </w:pPr>
      <w:r>
        <w:drawing>
          <wp:inline distT="0" distB="0" distL="0" distR="0">
            <wp:extent cx="5905500" cy="2619375"/>
            <wp:effectExtent t="0" r="0" b="0" l="0"/>
            <wp:docPr id="1" name="frame" descr="frame" titl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193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From structured management practices to control mechanisms, associations with performance, heterogeneity and transferability. Solid arrows: observed or estimated; dotted: unobserved; no arrow implies causation.</w:t>
      </w:r>
    </w:p>
    <w:p>
      <w:pPr>
        <w:pStyle w:val="Heading1"/>
        <w:spacing w:after="160" w:before="360"/>
      </w:pPr>
      <w:r>
        <w:rPr>
          <w:rFonts w:ascii="Times New Roman" w:cs="Times New Roman" w:eastAsia="Times New Roman" w:hAnsi="Times New Roman"/>
          <w:b/>
          <w:bCs/>
          <w:sz w:val="28"/>
          <w:szCs w:val="28"/>
        </w:rPr>
        <w:t xml:space="preserve">3. Research questions and hypotheses</w:t>
      </w:r>
    </w:p>
    <w:p>
      <w:pPr>
        <w:spacing w:after="120" w:line="300"/>
        <w:jc w:val="both"/>
      </w:pPr>
      <w:r>
        <w:rPr>
          <w:rFonts w:ascii="Times New Roman" w:cs="Times New Roman" w:eastAsia="Times New Roman" w:hAnsi="Times New Roman"/>
          <w:b/>
          <w:bCs/>
        </w:rPr>
        <w:t xml:space="preserve">Central question.</w:t>
      </w:r>
      <w:r>
        <w:rPr>
          <w:rFonts w:ascii="Times New Roman" w:cs="Times New Roman" w:eastAsia="Times New Roman" w:hAnsi="Times New Roman"/>
        </w:rPr>
        <w:t xml:space="preserve"> Do monitoring, target setting and incentives show the same individual and joint associations with performance in seven advanced economies, and how far do models of these associations transfer across organisational and national contexts?</w:t>
      </w:r>
    </w:p>
    <w:p>
      <w:pPr>
        <w:spacing w:after="120" w:line="300"/>
        <w:jc w:val="both"/>
      </w:pPr>
      <w:r>
        <w:rPr>
          <w:rFonts w:ascii="Times New Roman" w:cs="Times New Roman" w:eastAsia="Times New Roman" w:hAnsi="Times New Roman"/>
          <w:b/>
          <w:bCs/>
        </w:rPr>
        <w:t xml:space="preserve">Question 1 (individual associations).</w:t>
      </w:r>
      <w:r>
        <w:rPr>
          <w:rFonts w:ascii="Times New Roman" w:cs="Times New Roman" w:eastAsia="Times New Roman" w:hAnsi="Times New Roman"/>
        </w:rPr>
        <w:t xml:space="preserve"> Is each practice associated with performance? </w:t>
      </w:r>
      <w:r>
        <w:rPr>
          <w:rFonts w:ascii="Times New Roman" w:cs="Times New Roman" w:eastAsia="Times New Roman" w:hAnsi="Times New Roman"/>
          <w:b/>
          <w:bCs/>
        </w:rPr>
        <w:t xml:space="preserve">Question 2 (combinations).</w:t>
      </w:r>
      <w:r>
        <w:rPr>
          <w:rFonts w:ascii="Times New Roman" w:cs="Times New Roman" w:eastAsia="Times New Roman" w:hAnsi="Times New Roman"/>
        </w:rPr>
        <w:t xml:space="preserve"> Do practices operate independently or jointly (statistical interaction)? </w:t>
      </w:r>
      <w:r>
        <w:rPr>
          <w:rFonts w:ascii="Times New Roman" w:cs="Times New Roman" w:eastAsia="Times New Roman" w:hAnsi="Times New Roman"/>
          <w:b/>
          <w:bCs/>
        </w:rPr>
        <w:t xml:space="preserve">Question 3 (contexts).</w:t>
      </w:r>
      <w:r>
        <w:rPr>
          <w:rFonts w:ascii="Times New Roman" w:cs="Times New Roman" w:eastAsia="Times New Roman" w:hAnsi="Times New Roman"/>
        </w:rPr>
        <w:t xml:space="preserve"> Are these associations stable across organisational characteristics and countries, and do models transfer?</w:t>
      </w:r>
    </w:p>
    <w:p>
      <w:pPr>
        <w:spacing w:after="120" w:line="300"/>
        <w:jc w:val="both"/>
      </w:pPr>
      <w:r>
        <w:rPr>
          <w:rFonts w:ascii="Times New Roman" w:cs="Times New Roman" w:eastAsia="Times New Roman" w:hAnsi="Times New Roman"/>
        </w:rPr>
        <w:t xml:space="preserve">Hypotheses (derived from the frameworks of Section 2; formulated after an earlier exploratory phase on the same data; not pre-registered):</w:t>
      </w:r>
    </w:p>
    <w:p>
      <w:pPr>
        <w:pStyle w:val="ListParagraph"/>
        <w:numPr>
          <w:ilvl w:val="0"/>
          <w:numId w:val="2"/>
        </w:numPr>
        <w:spacing w:after="80" w:line="290"/>
      </w:pPr>
      <w:r>
        <w:rPr>
          <w:rFonts w:ascii="Times New Roman" w:cs="Times New Roman" w:eastAsia="Times New Roman" w:hAnsi="Times New Roman"/>
          <w:b/>
          <w:bCs/>
        </w:rPr>
        <w:t xml:space="preserve">H1.</w:t>
      </w:r>
      <w:r>
        <w:rPr>
          <w:rFonts w:ascii="Times New Roman" w:cs="Times New Roman" w:eastAsia="Times New Roman" w:hAnsi="Times New Roman"/>
        </w:rPr>
        <w:t xml:space="preserve"> Each practice is positively associated with performance (universalist benchmark).</w:t>
      </w:r>
    </w:p>
    <w:p>
      <w:pPr>
        <w:pStyle w:val="ListParagraph"/>
        <w:numPr>
          <w:ilvl w:val="0"/>
          <w:numId w:val="2"/>
        </w:numPr>
        <w:spacing w:after="80" w:line="290"/>
      </w:pPr>
      <w:r>
        <w:rPr>
          <w:rFonts w:ascii="Times New Roman" w:cs="Times New Roman" w:eastAsia="Times New Roman" w:hAnsi="Times New Roman"/>
          <w:b/>
          <w:bCs/>
        </w:rPr>
        <w:t xml:space="preserve">H2.</w:t>
      </w:r>
      <w:r>
        <w:rPr>
          <w:rFonts w:ascii="Times New Roman" w:cs="Times New Roman" w:eastAsia="Times New Roman" w:hAnsi="Times New Roman"/>
        </w:rPr>
        <w:t xml:space="preserve"> The associations of practices are not additive: pairwise interactions differ from zero.</w:t>
      </w:r>
    </w:p>
    <w:p>
      <w:pPr>
        <w:pStyle w:val="ListParagraph"/>
        <w:numPr>
          <w:ilvl w:val="0"/>
          <w:numId w:val="2"/>
        </w:numPr>
        <w:spacing w:after="80" w:line="290"/>
      </w:pPr>
      <w:r>
        <w:rPr>
          <w:rFonts w:ascii="Times New Roman" w:cs="Times New Roman" w:eastAsia="Times New Roman" w:hAnsi="Times New Roman"/>
          <w:b/>
          <w:bCs/>
        </w:rPr>
        <w:t xml:space="preserve">H3.</w:t>
      </w:r>
      <w:r>
        <w:rPr>
          <w:rFonts w:ascii="Times New Roman" w:cs="Times New Roman" w:eastAsia="Times New Roman" w:hAnsi="Times New Roman"/>
        </w:rPr>
        <w:t xml:space="preserve"> The association of each practice differs across countries.</w:t>
      </w:r>
    </w:p>
    <w:p>
      <w:pPr>
        <w:pStyle w:val="ListParagraph"/>
        <w:numPr>
          <w:ilvl w:val="0"/>
          <w:numId w:val="2"/>
        </w:numPr>
        <w:spacing w:after="80" w:line="290"/>
      </w:pPr>
      <w:r>
        <w:rPr>
          <w:rFonts w:ascii="Times New Roman" w:cs="Times New Roman" w:eastAsia="Times New Roman" w:hAnsi="Times New Roman"/>
          <w:b/>
          <w:bCs/>
        </w:rPr>
        <w:t xml:space="preserve">H4.</w:t>
      </w:r>
      <w:r>
        <w:rPr>
          <w:rFonts w:ascii="Times New Roman" w:cs="Times New Roman" w:eastAsia="Times New Roman" w:hAnsi="Times New Roman"/>
        </w:rPr>
        <w:t xml:space="preserve"> The associations depend on organisational contingencies (size, age, foreign ownership, exports, manager characteristics).</w:t>
      </w:r>
    </w:p>
    <w:p>
      <w:pPr>
        <w:pStyle w:val="ListParagraph"/>
        <w:numPr>
          <w:ilvl w:val="0"/>
          <w:numId w:val="2"/>
        </w:numPr>
        <w:spacing w:after="80" w:line="290"/>
      </w:pPr>
      <w:r>
        <w:rPr>
          <w:rFonts w:ascii="Times New Roman" w:cs="Times New Roman" w:eastAsia="Times New Roman" w:hAnsi="Times New Roman"/>
          <w:b/>
          <w:bCs/>
        </w:rPr>
        <w:t xml:space="preserve">H5.</w:t>
      </w:r>
      <w:r>
        <w:rPr>
          <w:rFonts w:ascii="Times New Roman" w:cs="Times New Roman" w:eastAsia="Times New Roman" w:hAnsi="Times New Roman"/>
        </w:rPr>
        <w:t xml:space="preserve"> Country-specific or contingent slopes improve out-of-sample prediction over common slopes, and models transfer imperfectly between countries.</w:t>
      </w:r>
    </w:p>
    <w:p>
      <w:pPr>
        <w:pStyle w:val="ListParagraph"/>
        <w:numPr>
          <w:ilvl w:val="0"/>
          <w:numId w:val="2"/>
        </w:numPr>
        <w:spacing w:after="80" w:line="290"/>
      </w:pPr>
      <w:r>
        <w:rPr>
          <w:rFonts w:ascii="Times New Roman" w:cs="Times New Roman" w:eastAsia="Times New Roman" w:hAnsi="Times New Roman"/>
          <w:b/>
          <w:bCs/>
        </w:rPr>
        <w:t xml:space="preserve">H6.</w:t>
      </w:r>
      <w:r>
        <w:rPr>
          <w:rFonts w:ascii="Times New Roman" w:cs="Times New Roman" w:eastAsia="Times New Roman" w:hAnsi="Times New Roman"/>
        </w:rPr>
        <w:t xml:space="preserve"> The results do not depend on measuring practices with latent scores or breadth variants.</w:t>
      </w:r>
    </w:p>
    <w:p>
      <w:pPr>
        <w:spacing w:after="120" w:line="300"/>
        <w:jc w:val="both"/>
      </w:pPr>
      <w:r>
        <w:rPr>
          <w:rFonts w:ascii="Times New Roman" w:cs="Times New Roman" w:eastAsia="Times New Roman" w:hAnsi="Times New Roman"/>
        </w:rPr>
        <w:t xml:space="preserve">Institutional moderation by national characteristics (a model with MCS × Z_c) cannot be estimated with seven countries; it is nested in a model with country-specific slopes, which therefore bounds what any such interaction could add.</w:t>
      </w:r>
    </w:p>
    <w:p>
      <w:pPr>
        <w:pStyle w:val="Heading1"/>
        <w:spacing w:after="160" w:before="360"/>
      </w:pPr>
      <w:r>
        <w:rPr>
          <w:rFonts w:ascii="Times New Roman" w:cs="Times New Roman" w:eastAsia="Times New Roman" w:hAnsi="Times New Roman"/>
          <w:b/>
          <w:bCs/>
          <w:sz w:val="28"/>
          <w:szCs w:val="28"/>
        </w:rPr>
        <w:t xml:space="preserve">4. Data and measurement</w:t>
      </w:r>
    </w:p>
    <w:p>
      <w:pPr>
        <w:spacing w:after="120" w:line="300"/>
        <w:jc w:val="both"/>
      </w:pPr>
      <w:r>
        <w:rPr>
          <w:rFonts w:ascii="Times New Roman" w:cs="Times New Roman" w:eastAsia="Times New Roman" w:hAnsi="Times New Roman"/>
          <w:b/>
          <w:bCs/>
        </w:rPr>
        <w:t xml:space="preserve">Sample.</w:t>
      </w:r>
      <w:r>
        <w:rPr>
          <w:rFonts w:ascii="Times New Roman" w:cs="Times New Roman" w:eastAsia="Times New Roman" w:hAnsi="Times New Roman"/>
        </w:rPr>
        <w:t xml:space="preserve"> The merged WBES file contains 10,968 establishments from Canada (2024), France (2025), Germany (2025), Italy (2024), Japan (2025), the United Kingdom (2024) and the United States (2024). The original country files with value labels were not available. The management-practices module is asked of 6,316 establishments (88.5% with 20 or more permanent full-time employees); the others are outside the module's universe (Table 1).</w:t>
      </w:r>
    </w:p>
    <w:p>
      <w:pPr>
        <w:spacing w:after="120" w:line="300"/>
        <w:jc w:val="both"/>
      </w:pPr>
      <w:r>
        <w:rPr>
          <w:rFonts w:ascii="Times New Roman" w:cs="Times New Roman" w:eastAsia="Times New Roman" w:hAnsi="Times New Roman"/>
          <w:b/>
          <w:bCs/>
        </w:rPr>
        <w:t xml:space="preserve">Practices.</w:t>
      </w:r>
      <w:r>
        <w:rPr>
          <w:rFonts w:ascii="Times New Roman" w:cs="Times New Roman" w:eastAsia="Times New Roman" w:hAnsi="Times New Roman"/>
        </w:rPr>
        <w:t xml:space="preserve"> Monitoring is whether the establishment tracked production or service performance indicators (r2, yes = 1); Targets is whether it had production or service targets (r4); Incentives is whether bonuses were tied to production or service targets (r8). Their direction (yes = 1) is verified by the skip logic of the data (follow-up items are asked only after a yes). Verification status of the wording: r2 and r8 partly verified through secondary descriptions; r4 inferred from its follow-up item r5, whose label (time frame of production or service targets) is verified for Italy 2024; r3 (number of indicators, asked only if r2 = yes) partly verified; r1 (reaction to production problems) partly verified; r9 (basis of bonuses) partly verified; r6, r7, r10 and r11 unverified. Only r2, r4 and r8 enter the main models; r3 defines a monitoring-breadth variant. r10 and r11 enter only the complementary latent analyses (Section 6.9), with a sensitivity analysis that excludes them. The practices are single binary indicators: there is no latent measurement model, and cross-country differences in reporting cannot be tested for invariance.</w:t>
      </w:r>
    </w:p>
    <w:p>
      <w:pPr>
        <w:spacing w:after="120" w:line="300"/>
        <w:jc w:val="both"/>
      </w:pPr>
      <w:r>
        <w:rPr>
          <w:rFonts w:ascii="Times New Roman" w:cs="Times New Roman" w:eastAsia="Times New Roman" w:hAnsi="Times New Roman"/>
          <w:b/>
          <w:bCs/>
        </w:rPr>
        <w:t xml:space="preserve">Structure among the practices.</w:t>
      </w:r>
      <w:r>
        <w:rPr>
          <w:rFonts w:ascii="Times New Roman" w:cs="Times New Roman" w:eastAsia="Times New Roman" w:hAnsi="Times New Roman"/>
        </w:rPr>
        <w:t xml:space="preserve"> Item r8 is asked of all establishments, not only of those with targets, but it is related to r4: 64.5% of establishments with targets report target-linked bonuses against 38.1% of those without, and 14% of establishments reporting such bonuses (35% in Germany) report no targets. The correlations are moderate (φ = 0.41 for monitoring and targets, 0.22 for targets and incentives, 0.27 for monitoring and incentives), and variance inflation factors after controls are 1.05 to 1.21, so the three coefficients are separately estimable. Bonuses linked to targets without reported targets suggests that respondents may interpret the two items differently, which weakens inference on the interaction of targets and incentives. The pattern in Japan (87% with targets, 47% monitoring indicators) is atypical and may reflect differences in the understanding or translation of items rather than in practice.</w:t>
      </w:r>
    </w:p>
    <w:p>
      <w:pPr>
        <w:spacing w:after="120" w:line="300"/>
        <w:jc w:val="both"/>
      </w:pPr>
      <w:r>
        <w:rPr>
          <w:rFonts w:ascii="Times New Roman" w:cs="Times New Roman" w:eastAsia="Times New Roman" w:hAnsi="Times New Roman"/>
          <w:b/>
          <w:bCs/>
        </w:rPr>
        <w:t xml:space="preserve">Outcomes and controls.</w:t>
      </w:r>
      <w:r>
        <w:rPr>
          <w:rFonts w:ascii="Times New Roman" w:cs="Times New Roman" w:eastAsia="Times New Roman" w:hAnsi="Times New Roman"/>
        </w:rPr>
        <w:t xml:space="preserve"> Outcomes are log sales per employee, annualised three-year sales growth and annualised three-year employment growth (the definitions of the base-year variables are assumed, not verified). Sales per employee is truncated at the 0.5th and 99.5th percentiles within country, and the growth outcomes at the 1st and 99th percentiles of the pooled sample; results for productivity are insensitive to no truncation, to 5/95 truncation and to median regression (Section 6.4). Sales are in local currency, so levels are compared only within country. Growth over three years is observed only for establishments that survived, and reverse causality (growing firms adopting incentives) cannot be excluded. Controls are log employment, log age and sector fixed effects (sector codes are country-specific, so sector-by-country effects absorb country levels). Organisational moderators are foreign ownership of at least 10% (b2b), exporter status (d3b, d3c), top-manager experience (b7) and female top manager (b7a); their labels were checked only against data-dictionary records of other 2024 surveys.</w:t>
      </w:r>
    </w:p>
    <w:p>
      <w:pPr>
        <w:spacing w:after="120" w:line="300"/>
        <w:jc w:val="both"/>
      </w:pPr>
      <w:r>
        <w:rPr>
          <w:rFonts w:ascii="Times New Roman" w:cs="Times New Roman" w:eastAsia="Times New Roman" w:hAnsi="Times New Roman"/>
          <w:b/>
          <w:bCs/>
        </w:rPr>
        <w:t xml:space="preserve">Survey design.</w:t>
      </w:r>
      <w:r>
        <w:rPr>
          <w:rFonts w:ascii="Times New Roman" w:cs="Times New Roman" w:eastAsia="Times New Roman" w:hAnsi="Times New Roman"/>
        </w:rPr>
        <w:t xml:space="preserve"> Sampling weights exist but the module universe is a subset of the sampled establishments, and stratum and cluster identifiers are not in the file. Establishments are sampled within strata (including sector), so sector is a stratum rather than necessarily a cluster; main analyses are unweighted with HC3 errors, and sector-by-country clustering is used as a conservative sensitivity analysis (73 clusters, 7 to 15 per country). Weighted analyses are reported as robustness checks.</w:t>
      </w:r>
    </w:p>
    <w:p>
      <w:pPr>
        <w:pStyle w:val="Heading1"/>
        <w:spacing w:after="160" w:before="360"/>
      </w:pPr>
      <w:r>
        <w:rPr>
          <w:rFonts w:ascii="Times New Roman" w:cs="Times New Roman" w:eastAsia="Times New Roman" w:hAnsi="Times New Roman"/>
          <w:b/>
          <w:bCs/>
          <w:sz w:val="28"/>
          <w:szCs w:val="28"/>
        </w:rPr>
        <w:t xml:space="preserve">5. Empirical strategy</w:t>
      </w:r>
    </w:p>
    <w:p>
      <w:pPr>
        <w:spacing w:after="120" w:line="300"/>
        <w:jc w:val="both"/>
      </w:pPr>
      <w:r>
        <w:rPr>
          <w:rFonts w:ascii="Times New Roman" w:cs="Times New Roman" w:eastAsia="Times New Roman" w:hAnsi="Times New Roman"/>
          <w:b/>
          <w:bCs/>
        </w:rPr>
        <w:t xml:space="preserve">Individual associations (Question 1).</w:t>
      </w:r>
      <w:r>
        <w:rPr>
          <w:rFonts w:ascii="Times New Roman" w:cs="Times New Roman" w:eastAsia="Times New Roman" w:hAnsi="Times New Roman"/>
        </w:rPr>
        <w:t xml:space="preserve"> Performance_ic = α_s(i) + β_M·M_ic + β_T·T_ic + β_I·I_ic + γ′X_ic + ε_ic, where s(i) is the sector-by-country fixed effect and X contains log size and log age (HC3 standard errors); the three practices enter together so that coefficients are partial associations. No causal interpretation is made.</w:t>
      </w:r>
    </w:p>
    <w:p>
      <w:pPr>
        <w:spacing w:after="120" w:line="300"/>
        <w:jc w:val="both"/>
      </w:pPr>
      <w:r>
        <w:rPr>
          <w:rFonts w:ascii="Times New Roman" w:cs="Times New Roman" w:eastAsia="Times New Roman" w:hAnsi="Times New Roman"/>
          <w:b/>
          <w:bCs/>
        </w:rPr>
        <w:t xml:space="preserve">Combinations (Question 2).</w:t>
      </w:r>
      <w:r>
        <w:rPr>
          <w:rFonts w:ascii="Times New Roman" w:cs="Times New Roman" w:eastAsia="Times New Roman" w:hAnsi="Times New Roman"/>
        </w:rPr>
        <w:t xml:space="preserve"> The specification adds M×T, M×I and T×I (and a three-way term), tested jointly and individually, with Holm correction within the family. A statistical interaction is not complementarity in the strong sense.</w:t>
      </w:r>
    </w:p>
    <w:p>
      <w:pPr>
        <w:spacing w:after="120" w:line="300"/>
        <w:jc w:val="both"/>
      </w:pPr>
      <w:r>
        <w:rPr>
          <w:rFonts w:ascii="Times New Roman" w:cs="Times New Roman" w:eastAsia="Times New Roman" w:hAnsi="Times New Roman"/>
          <w:b/>
          <w:bCs/>
        </w:rPr>
        <w:t xml:space="preserve">Contexts (Question 3).</w:t>
      </w:r>
      <w:r>
        <w:rPr>
          <w:rFonts w:ascii="Times New Roman" w:cs="Times New Roman" w:eastAsia="Times New Roman" w:hAnsi="Times New Roman"/>
        </w:rPr>
        <w:t xml:space="preserve"> Country-specific coefficients are estimated separately by country and, in a pooled model, by interacting each practice with country (with country-specific control slopes). Equality of each practice's coefficients across the seven countries is tested with robust Wald statistics (6 df) using HC3 errors and a restricted wild cluster bootstrap with Rademacher weights and clusters defined as country-by-sector cells (Cameron, Gelbach &amp; Miller, 2008; 999 replicates; 73 clusters), because asymptotic clustered tests are unreliable with 7 to 15 clusters per country. Heterogeneity is summarised with Cochran's Q and I² (Higgins &amp; Thompson, 2002) and a random-effects mean, with Q-profile confidence intervals for τ and I², leave-one-country-out analyses, weighted estimates (WLS with the supplied weights), alternative truncation of the outcome and median regression. Holm's correction (Holm, 1979) is applied across the nine practice-by-outcome tests. Organisational moderators are tested by interacting the three practices with each moderator (joint 3 df) with Holm correction over 18 tests.</w:t>
      </w:r>
    </w:p>
    <w:p>
      <w:pPr>
        <w:spacing w:after="120" w:line="300"/>
        <w:jc w:val="both"/>
      </w:pPr>
      <w:r>
        <w:rPr>
          <w:rFonts w:ascii="Times New Roman" w:cs="Times New Roman" w:eastAsia="Times New Roman" w:hAnsi="Times New Roman"/>
          <w:b/>
          <w:bCs/>
        </w:rPr>
        <w:t xml:space="preserve">Prediction and transfer.</w:t>
      </w:r>
      <w:r>
        <w:rPr>
          <w:rFonts w:ascii="Times New Roman" w:cs="Times New Roman" w:eastAsia="Times New Roman" w:hAnsi="Times New Roman"/>
        </w:rPr>
        <w:t xml:space="preserve"> Models are compared by 10-fold cross-validation repeated three times, with folds stratified by country and identical across models. Every model carries the same controls and main effects of the moderators, so that differences isolate the practice terms: U0 (controls only), P1 (common slopes for M, T, I), P2 (P1 plus combinations), C1 (P1 plus practices × organisational moderators), N1 (country-specific slopes for each practice) and X (C1 plus country-specific slopes). HB is a partial-pooling model in which country-specific slopes are shrunk toward the pooled slope with penalties derived from the heterogeneity estimated in each training fold (an empirical-Bayes random-slope predictor). N1 bounds any model with a national institutional interaction. Paired differences in squared error are reported with a firm-level interval, which ignores dependence across folds, and with the corrected resampled interval of Nadeau and Bengio (2003) computed on fold-level errors. Absence of a detectable gain is not treated as equivalence: the corrected intervals are compared with the oracle gain (below) and no equivalence margin is claimed. Transferability is assessed on country-by-sector-demeaned data: a model estimated on one source country, or on the other six countries (LOCO), is applied to each target and compared with a model estimated and cross-validated in the target, and with a global pooled model that adds the target's training folds; paired bootstrap intervals are reported for the differences, and the seven target-specific differences between local and LOCO models are combined by inverse-variance weighting. To separate the practices from the controls, the transfer analysis is repeated with the control coefficients held fixed at the target's LOCO estimates (practice-only transfer).</w:t>
      </w:r>
    </w:p>
    <w:p>
      <w:pPr>
        <w:spacing w:after="120" w:line="300"/>
        <w:jc w:val="both"/>
      </w:pPr>
      <w:r>
        <w:rPr>
          <w:rFonts w:ascii="Times New Roman" w:cs="Times New Roman" w:eastAsia="Times New Roman" w:hAnsi="Times New Roman"/>
          <w:b/>
          <w:bCs/>
        </w:rPr>
        <w:t xml:space="preserve">Why a common model can stay competitive.</w:t>
      </w:r>
      <w:r>
        <w:rPr>
          <w:rFonts w:ascii="Times New Roman" w:cs="Times New Roman" w:eastAsia="Times New Roman" w:hAnsi="Times New Roman"/>
        </w:rPr>
        <w:t xml:space="preserve"> The oracle gain of knowing country slopes exactly (the estimated slope heterogeneity multiplied by the residual variance of each practice) is compared with the out-of-sample cost of estimating the additional slopes, and the out-of-sample power of national slopes is simulated at the estimated heterogeneity and at multiples of it.</w:t>
      </w:r>
    </w:p>
    <w:p>
      <w:pPr>
        <w:spacing w:after="120" w:line="300"/>
        <w:jc w:val="both"/>
      </w:pPr>
      <w:r>
        <w:rPr>
          <w:rFonts w:ascii="Times New Roman" w:cs="Times New Roman" w:eastAsia="Times New Roman" w:hAnsi="Times New Roman"/>
          <w:b/>
          <w:bCs/>
        </w:rPr>
        <w:t xml:space="preserve">Complementary analyses.</w:t>
      </w:r>
      <w:r>
        <w:rPr>
          <w:rFonts w:ascii="Times New Roman" w:cs="Times New Roman" w:eastAsia="Times New Roman" w:hAnsi="Times New Roman"/>
        </w:rPr>
        <w:t xml:space="preserve"> Latent structure (one-dimensional and class models), cross-country invariance, level dependence and a latent-score sensitivity analysis that excludes items of unverified wording are reported in Section 6.9.</w:t>
      </w:r>
    </w:p>
    <w:p>
      <w:pPr>
        <w:pStyle w:val="Heading1"/>
        <w:spacing w:after="160" w:before="360"/>
      </w:pPr>
      <w:r>
        <w:rPr>
          <w:rFonts w:ascii="Times New Roman" w:cs="Times New Roman" w:eastAsia="Times New Roman" w:hAnsi="Times New Roman"/>
          <w:b/>
          <w:bCs/>
          <w:sz w:val="28"/>
          <w:szCs w:val="28"/>
        </w:rPr>
        <w:t xml:space="preserve">6. Results</w:t>
      </w:r>
    </w:p>
    <w:p>
      <w:pPr>
        <w:spacing w:after="120" w:line="300"/>
        <w:jc w:val="both"/>
      </w:pPr>
      <w:r>
        <w:rPr>
          <w:rFonts w:ascii="Times New Roman" w:cs="Times New Roman" w:eastAsia="Times New Roman" w:hAnsi="Times New Roman"/>
          <w:b/>
          <w:bCs/>
        </w:rPr>
        <w:t xml:space="preserve">6.1 Sample (Table 1).</w:t>
      </w:r>
      <w:r>
        <w:rPr>
          <w:rFonts w:ascii="Times New Roman" w:cs="Times New Roman" w:eastAsia="Times New Roman" w:hAnsi="Times New Roman"/>
        </w:rPr>
        <w:t xml:space="preserve"> The module universe contains 6,316 establishments. Reported use of monitoring ranges from 47% in Japan to 92% in the United Kingdom, targets from 60% in Italy to 93% in the United Kingdom, and target-linked bonuses from 36% in Italy to 76% in the United Kingdom. These descriptive differences are confounded by size composition and are not evidence of institutional or cultural effects.</w:t>
      </w:r>
    </w:p>
    <w:p>
      <w:pPr>
        <w:spacing w:after="200" w:before="6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Management-module universe by country: sample size, median permanent full-time employees, share reporting each practice among valid responses, and mean core score (number of practices present among r2, r4, r8;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1500"/>
        <w:gridCol w:w="1400"/>
        <w:gridCol w:w="1400"/>
        <w:gridCol w:w="1260"/>
      </w:tblGrid>
      <w:tr>
        <w:trPr>
          <w:tblHeader/>
        </w:trPr>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Median employees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r2 monitoring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r4 targets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r8 bonuses (%)</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Mean core score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1233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641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2.34</w:t>
            </w:r>
          </w:p>
        </w:tc>
      </w:tr>
    </w:tbl>
    <w:p>
      <w:pPr>
        <w:spacing w:after="120" w:line="300"/>
        <w:jc w:val="both"/>
      </w:pPr>
      <w:r>
        <w:rPr>
          <w:rFonts w:ascii="Times New Roman" w:cs="Times New Roman" w:eastAsia="Times New Roman" w:hAnsi="Times New Roman"/>
          <w:b/>
          <w:bCs/>
        </w:rPr>
        <w:t xml:space="preserve">6.2 Individual associations (Table 2).</w:t>
      </w:r>
      <w:r>
        <w:rPr>
          <w:rFonts w:ascii="Times New Roman" w:cs="Times New Roman" w:eastAsia="Times New Roman" w:hAnsi="Times New Roman"/>
        </w:rPr>
        <w:t xml:space="preserve"> With the three practices entered together, incentives show the strongest association with productivity (0.199 log points, 95% CI 0.156 to 0.243, about 22% higher sales per employee), followed by monitoring (0.122; 0.069 to 0.175; about 13%); targets are not distinguishable from zero (0.047; −0.010 to 0.104), so the expectation that each practice is positively associated with productivity (H1) is not supported for targets. For sales growth, targets (0.0077) and incentives (0.0064) are positively associated and monitoring is not; for employment growth only incentives are (0.0079; 0.0044 to 0.0113). Using the breadth of monitoring (three bands of r3) instead of its presence, each band is associated with 0.085 log points of productivity (0.063 to 0.107), and the association of targets falls to 0.019. These are conditional associations within sector-by-country cells; they do not show that adopting a practice raises performance.</w:t>
      </w:r>
    </w:p>
    <w:p>
      <w:pPr>
        <w:spacing w:after="200" w:before="6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Individual associations of monitoring, targets and incentives with performance (pooled; practices entered together; sector-by-country fixed effects, log size, log age; HC3): coefficient [95% CI]. Productivity = log sales per employee; growth outcomes are annualised three-year log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00"/>
        <w:gridCol w:w="2200"/>
      </w:tblGrid>
      <w:tr>
        <w:trPr>
          <w:tblHeader/>
        </w:trPr>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Practice</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Productivity</w:t>
            </w:r>
          </w:p>
        </w:tc>
        <w:tc>
          <w:tcPr>
            <w:tcW w:type="dxa" w:w="2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w:t>
            </w:r>
          </w:p>
        </w:tc>
        <w:tc>
          <w:tcPr>
            <w:tcW w:type="dxa" w:w="2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Monitoring (r2)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0.122 [0.069, 0.175]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-0.0026 [-0.0083, 0.0030]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-0.0016 [-0.0055, 0.0024]</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(r4)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 [-0.010, 0.104]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0.0077 [0.0017, 0.0137]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0.0021 [-0.0021, 0.0063]</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Incentives (r8)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0.199 [0.156, 0.243]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0.0064 [0.0016, 0.0112]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0.0079 [0.0044, 0.0113]</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Joint test M, T, I (p)</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5980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6026</w:t>
            </w:r>
          </w:p>
        </w:tc>
      </w:tr>
    </w:tbl>
    <w:p>
      <w:pPr>
        <w:spacing w:after="120" w:line="300"/>
        <w:jc w:val="both"/>
      </w:pPr>
      <w:r>
        <w:rPr>
          <w:rFonts w:ascii="Times New Roman" w:cs="Times New Roman" w:eastAsia="Times New Roman" w:hAnsi="Times New Roman"/>
          <w:b/>
          <w:bCs/>
        </w:rPr>
        <w:t xml:space="preserve">6.3 Combinations (Table 3).</w:t>
      </w:r>
      <w:r>
        <w:rPr>
          <w:rFonts w:ascii="Times New Roman" w:cs="Times New Roman" w:eastAsia="Times New Roman" w:hAnsi="Times New Roman"/>
        </w:rPr>
        <w:t xml:space="preserve"> No pairwise interaction is distinguishable from zero for productivity or sales growth, and the joint pairwise test is not significant for any outcome (p = 0.35, 0.94, 0.14). The three-way interaction is positive for productivity (0.229; 0.010 to 0.448; p = 0.040) but is absent for the growth outcomes (p = 0.99, 0.84) and does not survive correction for the three outcomes tested. Given the partial overlap of the targets and incentives items (Section 4), the data provide no evidence that the practices operate jointly beyond their individual associations.</w:t>
      </w:r>
    </w:p>
    <w:p>
      <w:pPr>
        <w:spacing w:after="200" w:before="6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Combinations of practices: statistical interactions (coefficient [95% CI], p) and joint pairwise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100"/>
      </w:tblGrid>
      <w:tr>
        <w:trPr>
          <w:tblHeader/>
        </w:trPr>
        <w:tc>
          <w:tcPr>
            <w:tcW w:type="dxa" w:w="2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Term</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Productivity</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w:t>
            </w:r>
          </w:p>
        </w:tc>
        <w:tc>
          <w:tcPr>
            <w:tcW w:type="dxa" w:w="2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Monitoring × Targets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-0.054 [-0.164, 0.056] (p = 0.332)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0.0035 [-0.0077, 0.0147] (p = 0.543)</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0.0078 [-0.0002, 0.0157] (p = 0.056)</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Monitoring × Incentives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0.030 [-0.068, 0.128] (p = 0.549)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-0.0010 [-0.0118, 0.0097] (p = 0.853)</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-0.0026 [-0.0100, 0.0048] (p = 0.490)</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 Incentives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-0.075 [-0.186, 0.035] (p = 0.182)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0.0002 [-0.0109, 0.0113] (p = 0.974)</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0.0032 [-0.0048, 0.0113] (p = 0.429)</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Three-way (M × T × I)</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0.229 [0.010, 0.448] (p = 0.040)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 [-0.0221, 0.0224] (p = 0.990)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0.0017 [-0.0141, 0.0174] (p = 0.836)</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Joint pairwise test (3 df), p</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0.353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0.940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0.143</w:t>
            </w:r>
          </w:p>
        </w:tc>
      </w:tr>
    </w:tbl>
    <w:p>
      <w:pPr>
        <w:spacing w:after="120" w:line="300"/>
        <w:jc w:val="both"/>
      </w:pPr>
      <w:r>
        <w:rPr>
          <w:rFonts w:ascii="Times New Roman" w:cs="Times New Roman" w:eastAsia="Times New Roman" w:hAnsi="Times New Roman"/>
          <w:b/>
          <w:bCs/>
        </w:rPr>
        <w:t xml:space="preserve">6.4 Stability across countries (Tables 4 to 6, Figure 2).</w:t>
      </w:r>
      <w:r>
        <w:rPr>
          <w:rFonts w:ascii="Times New Roman" w:cs="Times New Roman" w:eastAsia="Times New Roman" w:hAnsi="Times New Roman"/>
        </w:rPr>
        <w:t xml:space="preserve"> For productivity, the estimated association of incentives varies from 0.509 in Canada (0.333 to 0.684; about 66%) to 0.048 in France (−0.079 to 0.175; about 5%), with 0.360 in Italy, 0.225 in Germany, 0.202 in the United Kingdom, 0.154 in the United States and 0.082 in Japan (−0.006 to 0.171); Cochran's Q = 28.4 (df = 6, p = 0.0001), I² = 79% (95% CI 58% to 97%), τ = 0.114 (95% CI 0.070 to 0.346). The association of monitoring is positive in the United States (0.193), Japan (0.146) and Germany (0.089) and not distinguishable from zero in the other four countries, and that of targets in none; equality across countries is not rejected for either (p = 0.39 and 0.63 with HC3 errors). Descriptively, the productivity association is concentrated in incentives in Canada and Italy and is of similar size for monitoring and incentives in the United States and Japan, but differences between practice coefficients within a country were not tested.</w:t>
      </w:r>
    </w:p>
    <w:p>
      <w:pPr>
        <w:spacing w:after="200" w:before="6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Country-specific associations of each practice with productivity (separate regressions by country; coefficient [95% CI]); heterogeneity across countries (Cochran's Q, I²) and random-effects mean.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300"/>
        <w:gridCol w:w="2300"/>
        <w:gridCol w:w="2300"/>
      </w:tblGrid>
      <w:tr>
        <w:trPr>
          <w:tblHeader/>
        </w:trPr>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Monitoring</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Targets</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Incentives</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567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0.063 [-0.203, 0.328]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 [-0.202, 0.296]</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0.509 [0.333, 0.684]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442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-0.143 [-0.403, 0.117]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0.125 [-0.144, 0.394]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0.048 [-0.079, 0.175]</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1222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0.089 [0.005, 0.173]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 [-0.061, 0.100]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0.225 [0.149, 0.301]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0.086 [-0.080, 0.252]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0.139 [-0.031, 0.308]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0.360 [0.193, 0.527]</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1204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0.146 [0.050, 0.242]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0.063 [-0.072, 0.198]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0.082 [-0.006, 0.171]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0.037 [-0.252, 0.325]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-0.210 [-0.532, 0.113]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0.202 [0.031, 0.372]</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1436</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0.193 [0.058, 0.327]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0.041 [-0.107, 0.189]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0.154 [0.052, 0.255]</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Q (df = 6), p; I²</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 p = 0.3868; I² = 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4.3, p = 0.6297; I² = 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28.4, p = 0.0001; I² = 79%</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Random-effects mean (τ)</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0.107 (τ = 0.017)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0.041 (τ = 0.000)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0.212 (τ = 0.114)</w:t>
            </w:r>
          </w:p>
        </w:tc>
      </w:tr>
    </w:tbl>
    <w:p>
      <w:pPr>
        <w:keepNext/>
        <w:spacing w:before="120"/>
        <w:jc w:val="center"/>
      </w:pPr>
      <w:r>
        <w:drawing>
          <wp:inline distT="0" distB="0" distL="0" distR="0">
            <wp:extent cx="6096000" cy="1905000"/>
            <wp:effectExtent t="0" r="0" b="0" l="0"/>
            <wp:docPr id="1" name="forest" descr="forest" title="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905000"/>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Country-specific associations of monitoring, targets and incentives with productivity (95% CI); Q-test p and I² by practice.</w:t>
      </w:r>
    </w:p>
    <w:p>
      <w:pPr>
        <w:spacing w:after="200" w:before="6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Tests of equality of each practice's coefficients across the seven countries (robust Wald, 6 df): HC3 p (Holm-adjusted over the nine practice-by-outcome tests) and restricted wild cluster bootstrap p (999 replicates; clusters = country-by-sector cells, 73 clusters; Holm-adjusted over the nine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tblHeader/>
        </w:trPr>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Practice</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Productivity</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Monitoring (r2)</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0.3868 (Holm 1.000); wild-bootstrap p = 0.234 (Holm 0.725)</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0.1876 (Holm 0.938); wild-bootstrap p = 0.151 (Holm 0.725)</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0.0923 (Holm 0.554); wild-bootstrap p = 0.145 (Holm 0.725)</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(r4)</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0.6297 (Holm 1.000); wild-bootstrap p = 0.743 (Holm 0.743)</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0.0027 (Holm 0.021); wild-bootstrap p = 0.006 (Holm 0.054)</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0.0467 (Holm 0.327); wild-bootstrap p = 0.012 (Holm 0.096)</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Incentives (r8)</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0.0001 (Holm 0.001); wild-bootstrap p = 0.015 (Holm 0.105)</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0.3348 (Holm 1.000); wild-bootstrap p = 0.283 (Holm 0.725)</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0.3737 (Holm 1.000); wild-bootstrap p = 0.086 (Holm 0.516)</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Joint (18 df)</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0.0004; wild-bootstrap p = 0.162</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0.0167; wild-bootstrap p = 0.164</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 p = 0.0697; wild-bootstrap p = 0.033</w:t>
            </w:r>
          </w:p>
        </w:tc>
      </w:tr>
    </w:tbl>
    <w:p>
      <w:pPr>
        <w:spacing w:after="200" w:before="6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Robustness of the heterogeneity of the incentives–productivity association across countries: Cochran's Q, p, I² and τ (95% Q-profile intervals for the main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300"/>
        <w:gridCol w:w="1700"/>
        <w:gridCol w:w="1700"/>
      </w:tblGrid>
      <w:tr>
        <w:trPr>
          <w:tblHeader/>
        </w:trPr>
        <w:tc>
          <w:tcPr>
            <w:tcW w:type="dxa" w:w="3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Specification</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Q</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I² (%)</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τ</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Main specification (HC3)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 [58, 97]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0.114 [0.070, 0.346]</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Leave one country out (range of 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14.5–28.4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0.0000–0.013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65–82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0.077–0.136</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Weighted WLS (wmedian)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0.0883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0.106</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winsorisation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0.116</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Winsorised 5/95 within country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31.5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0.108</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Median regression (no winsorisation)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Wild cluster bootstrap (73 clusters)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r>
    </w:tbl>
    <w:p>
      <w:pPr>
        <w:spacing w:after="120" w:line="300"/>
        <w:jc w:val="both"/>
      </w:pPr>
      <w:r>
        <w:rPr>
          <w:rFonts w:ascii="Times New Roman" w:cs="Times New Roman" w:eastAsia="Times New Roman" w:hAnsi="Times New Roman"/>
        </w:rPr>
        <w:t xml:space="preserve">The evidence for heterogeneity in the incentives–productivity association is moderate and depends on inference (Table 6). It is unchanged by leaving out any single country (p from 0.0000 to 0.013; I² from 65% to 82%; without Canada Q = 14.5, I² = 65%), by not truncating the outcome, by 5/95 truncation and by median regression (I² 77% to 81%), so outliers do not drive it. It is weaker with the supplied weights (Q = 11.0, p = 0.088, I² = 45%) and with the restricted wild cluster bootstrap, where the p-value for incentives and productivity is 0.015 (73 clusters, 7 to 15 per country) and 0.105 after Holm correction over the nine tests; the asymptotic clustered p-values of 0.0000 in earlier versions were anti-conservative and are not reported. For growth, the wild bootstrap p-values are 0.006 for targets and sales growth (Holm 0.054) and 0.012 for targets and employment growth (Holm 0.096); no test is significant at the 5% level after Holm correction under the bootstrap. Heterogeneity in incentives is therefore large in magnitude, robust to outliers and to the exclusion of any country, but statistically fragile under weighting and clustered inference. The expectation that associations differ across countries (H3) is suggestively supported for incentives and productivity only.</w:t>
      </w:r>
    </w:p>
    <w:p>
      <w:pPr>
        <w:spacing w:after="120" w:line="300"/>
        <w:jc w:val="both"/>
      </w:pPr>
      <w:r>
        <w:rPr>
          <w:rFonts w:ascii="Times New Roman" w:cs="Times New Roman" w:eastAsia="Times New Roman" w:hAnsi="Times New Roman"/>
          <w:b/>
          <w:bCs/>
        </w:rPr>
        <w:t xml:space="preserve">6.5 Organisational contingencies (Table 7).</w:t>
      </w:r>
      <w:r>
        <w:rPr>
          <w:rFonts w:ascii="Times New Roman" w:cs="Times New Roman" w:eastAsia="Times New Roman" w:hAnsi="Times New Roman"/>
        </w:rPr>
        <w:t xml:space="preserve"> Among the six organisational moderators, only size shows a joint interaction with the practices for productivity (Wald χ² = 11.5, p = 0.009), which does not survive correction over the 18 tests (Holm p = 0.17); foreign ownership (p = 0.048; Holm 0.71) and the other moderators show no reliable moderation, and none is significant for growth after correction.</w:t>
      </w:r>
    </w:p>
    <w:p>
      <w:pPr>
        <w:spacing w:after="200" w:before="6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Organisational moderators of the practice–productivity associations: joint test of the three practice-by-moderator interactions (3 df) and Holm-adjusted p over the 18 tests (three outcomes × six moderators).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600"/>
        <w:gridCol w:w="1500"/>
        <w:gridCol w:w="1700"/>
      </w:tblGrid>
      <w:tr>
        <w:trPr>
          <w:tblHeader/>
        </w:trPr>
        <w:tc>
          <w:tcPr>
            <w:tcW w:type="dxa" w:w="3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Moderator</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Wald χ² (3 df)</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Holm p</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Size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Age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Foreign ownership &gt;=10%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6089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0.71</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Exporter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6080</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0.5979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Manager experience (log)</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5949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0.9219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Female top manager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6100</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0.1745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bl>
    <w:p>
      <w:pPr>
        <w:spacing w:after="120" w:line="300"/>
        <w:jc w:val="both"/>
      </w:pPr>
      <w:r>
        <w:rPr>
          <w:rFonts w:ascii="Times New Roman" w:cs="Times New Roman" w:eastAsia="Times New Roman" w:hAnsi="Times New Roman"/>
          <w:b/>
          <w:bCs/>
        </w:rPr>
        <w:t xml:space="preserve">6.6 Out-of-sample comparison (Table 8).</w:t>
      </w:r>
      <w:r>
        <w:rPr>
          <w:rFonts w:ascii="Times New Roman" w:cs="Times New Roman" w:eastAsia="Times New Roman" w:hAnsi="Times New Roman"/>
        </w:rPr>
        <w:t xml:space="preserve"> For productivity, common slopes for the three practices (P1) lower out-of-sample RMSE from 0.7924 to 0.7854, a 1.8% reduction in mean squared error (corrected 95% CI 0.0055 to 0.0167 in squared log points; p &lt; 0.001). Adding combinations (−0.0002), organisational contingency (−0.0010) or country-specific slopes for each practice (N1; 0.0002; corrected CI −0.0031 to 0.0035; p = 0.91) brings no detectable gain. The partial-pooling model (HB) has the lowest RMSE (0.7845), 0.0014 below P1 (corrected CI −0.0003 to 0.0031; p = 0.11) and 0.0012 below N1 (−0.0009 to 0.0033; p = 0.25): the best point estimate, but not reliably different from either. For growth outcomes no model improves on the controls by more than 0.25%. These results show that the comparison could not detect gains, not that gains are absent: the corrected interval for N1 against P1 includes both zero and the oracle gain of 0.0028 described below, and equivalence is not established.</w:t>
      </w:r>
    </w:p>
    <w:p>
      <w:pPr>
        <w:spacing w:after="200" w:before="60"/>
        <w:jc w:val="left"/>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Out-of-sample comparison (10-fold cross-validation × 3, folds stratified by country and identical across models): RMSE for productivity, incremental R² over controls, RMSE for growth outcomes; lower panel: paired reductions in mean squared error for productivity (squared log points) with firm-level 95% CI and corrected resampled 95% CI (Nadeau–Bengio).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400"/>
        <w:gridCol w:w="1400"/>
        <w:gridCol w:w="1300"/>
      </w:tblGrid>
      <w:tr>
        <w:trPr>
          <w:tblHeader/>
        </w:trPr>
        <w:tc>
          <w:tcPr>
            <w:tcW w:type="dxa" w:w="3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Model</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productivity</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Incremental R²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sales growth</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employment growth</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0.7924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P1 universal (M,T,I common slopes)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0.7854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0.0649</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P2 universal + combinations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0.0649</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C1 organisational contingency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N1 national slopes (M,T,I x country)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0.7853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 organisational + national</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HB partial pooling (shrunk country slopes)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0.7845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1900"/>
        <w:gridCol w:w="1000"/>
      </w:tblGrid>
      <w:tr>
        <w:trPr>
          <w:tblHeader/>
        </w:trPr>
        <w:tc>
          <w:tcPr>
            <w:tcW w:type="dxa" w:w="3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Comparison</w:t>
            </w:r>
          </w:p>
        </w:tc>
        <w:tc>
          <w:tcPr>
            <w:tcW w:type="dxa" w:w="2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Reduction [firm-level 95% CI]</w:t>
            </w:r>
          </w:p>
        </w:tc>
        <w:tc>
          <w:tcPr>
            <w:tcW w:type="dxa" w:w="1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Corrected 95% CI</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Corrected p</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P1 universal (M,T,I common slopes) vs U0</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0.0111 [0.0068, 0.0155]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[0.0055, 0.0167]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&lt;0.001</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P2 universal + combinations vs P1 universal (M,T,I common slopes)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-0.0002 [-0.0009, 0.0006]</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[-0.0009, 0.0006]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0.676</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C1 organisational contingency vs P1 universal (M,T,I common slopes)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-0.0010 [-0.0035, 0.0015]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[-0.0038, 0.0019]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0.492</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N1 national slopes (M,T,I x country) vs P1 universal (M,T,I common slopes)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0.0002 [-0.0027, 0.0031]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[-0.0031, 0.0035]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0.912</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 organisational + national vs C1 organisational contingency</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0.0008 [-0.0022, 0.0038]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[-0.0029, 0.0044]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0.669</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HB partial pooling vs P1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0.0014 [-0.0004, 0.0032]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[-0.0003, 0.0031]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0.111</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HB partial pooling vs N1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0.0012 [-0.0003, 0.0027]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[-0.0009, 0.0033]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0.245</w:t>
            </w:r>
          </w:p>
        </w:tc>
      </w:tr>
    </w:tbl>
    <w:p>
      <w:pPr>
        <w:spacing w:after="120" w:line="300"/>
        <w:jc w:val="both"/>
      </w:pPr>
      <w:r>
        <w:rPr>
          <w:rFonts w:ascii="Times New Roman" w:cs="Times New Roman" w:eastAsia="Times New Roman" w:hAnsi="Times New Roman"/>
          <w:b/>
          <w:bCs/>
        </w:rPr>
        <w:t xml:space="preserve">6.7 Why does a common model remain competitive?</w:t>
      </w:r>
      <w:r>
        <w:rPr>
          <w:rFonts w:ascii="Times New Roman" w:cs="Times New Roman" w:eastAsia="Times New Roman" w:hAnsi="Times New Roman"/>
        </w:rPr>
        <w:t xml:space="preserve"> Heterogeneity that is large in magnitude is small in predictive terms because the practices explain little variance. If country-specific slopes were known exactly, the mean squared error would fall by 0.0028 (0.45% of the residual variance), almost entirely through incentives, whereas estimating eighteen additional slopes costs about 0.0021 out of sample; the expected net gain is 0.0008. In simulations at the estimated heterogeneity, national slopes beat the common model in only 53% of replications (mean gain 0.0007); at twice the estimated heterogeneity they do in 95%. With seven countries and R² of about 2%, an out-of-sample comparison therefore has roughly even power at the estimated heterogeneity, and shrinkage (HB), which sits between the two extremes, gives the best point estimate. The competitiveness of the common model reflects the small share of variance explained and the cost of estimating country-specific slopes; it does not show that associations are homogeneous.</w:t>
      </w:r>
    </w:p>
    <w:p>
      <w:pPr>
        <w:spacing w:after="120" w:line="300"/>
        <w:jc w:val="both"/>
      </w:pPr>
      <w:r>
        <w:rPr>
          <w:rFonts w:ascii="Times New Roman" w:cs="Times New Roman" w:eastAsia="Times New Roman" w:hAnsi="Times New Roman"/>
          <w:b/>
          <w:bCs/>
        </w:rPr>
        <w:t xml:space="preserve">6.8 Transferability (Table 9).</w:t>
      </w:r>
      <w:r>
        <w:rPr>
          <w:rFonts w:ascii="Times New Roman" w:cs="Times New Roman" w:eastAsia="Times New Roman" w:hAnsi="Times New Roman"/>
        </w:rPr>
        <w:t xml:space="preserve"> Out-of-sample R² for productivity is small in every country (local models: −0.02 to 0.08). A model estimated in a single country is worse than the local model in 93% of the 42 source–target pairs, by 0.033 R² units on average, with large losses for some pairs (Canada and Italy as sources for France: −0.118 and −0.111). Holding the control coefficients fixed at the target's LOCO estimates so that only the practice coefficients are transferred, the local model is better in 81% of pairs with a mean advantage of 0.017, and the loss for Canada to France remains (−0.113); about half of the loss in the full model therefore comes from the control coefficients and composition, and the rest from the practice coefficients. With a single latent score of practices, the local model was better in 88% of pairs (mean advantage 0.020; supplementary analysis), so single-country transfer of the practice-level model loses more than that of the global score, but the two analyses use different predictors. A model estimated on the other six countries (LOCO) performs close to the local model but not identically: local minus LOCO is positive in six of seven countries (0.001 to 0.022), each interval includes zero, and the inverse-variance combined difference is 0.0095 R² units (95% CI 0.0023 to 0.0167; p = 0.010), a small but detectable advantage of local estimation. For practice-only transfer the local-minus-LOCO differences are close to zero (−0.005 to 0.015; every interval includes zero). Growth outcomes show no transferable signal.</w:t>
      </w:r>
    </w:p>
    <w:p>
      <w:pPr>
        <w:spacing w:after="200" w:before="60"/>
        <w:jc w:val="left"/>
      </w:pPr>
      <w:r>
        <w:rPr>
          <w:rFonts w:ascii="Times New Roman" w:cs="Times New Roman" w:eastAsia="Times New Roman" w:hAnsi="Times New Roman"/>
          <w:b/>
          <w:bCs/>
          <w:sz w:val="20"/>
          <w:szCs w:val="20"/>
        </w:rPr>
        <w:t xml:space="preserve">Table 9.</w:t>
      </w:r>
      <w:r>
        <w:rPr>
          <w:rFonts w:ascii="Times New Roman" w:cs="Times New Roman" w:eastAsia="Times New Roman" w:hAnsi="Times New Roman"/>
          <w:sz w:val="20"/>
          <w:szCs w:val="20"/>
        </w:rPr>
        <w:t xml:space="preserve"> Transferability of the three-practice model for productivity: out-of-sample R² of a model estimated in the source country (rows) applied to the target (columns); LOCO = estimated on the other six countries; Local = estimated and cross-validated in the target; last row: local minus LOCO with paired bootstrap 95% 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050"/>
        <w:gridCol w:w="1050"/>
        <w:gridCol w:w="1000"/>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Source / Target</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CAN</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FRA</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DEU</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ITA</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JPN</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GBR</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USA</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-0.038</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-0.042</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LOCO</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Local (CV)</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Local − LOCO [95% CI]</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 [-0.028, 0.026]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 [-0.038, 0.034]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0.006 [-0.007, 0.017]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 [-0.012, 0.052]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0.013 [-0.003, 0.029]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 [-0.020, 0.026]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 [-0.000, 0.035]</w:t>
            </w:r>
          </w:p>
        </w:tc>
      </w:tr>
    </w:tbl>
    <w:p>
      <w:pPr>
        <w:spacing w:after="120" w:line="300"/>
        <w:jc w:val="both"/>
      </w:pPr>
      <w:r>
        <w:rPr>
          <w:rFonts w:ascii="Times New Roman" w:cs="Times New Roman" w:eastAsia="Times New Roman" w:hAnsi="Times New Roman"/>
          <w:b/>
          <w:bCs/>
        </w:rPr>
        <w:t xml:space="preserve">6.9 Complementary analyses of latent structure (retained from the earlier analysis).</w:t>
      </w:r>
      <w:r>
        <w:rPr>
          <w:rFonts w:ascii="Times New Roman" w:cs="Times New Roman" w:eastAsia="Times New Roman" w:hAnsi="Times New Roman"/>
        </w:rPr>
        <w:t xml:space="preserve"> For the six items asked of all firms (r1, r2, r4, r8, r10, r11), the items follow one dominant continuous dimension (parallel analysis: eigenvalue 2.54 versus 1.09), latent classes are poorly separated (relative entropy 0.53 to 0.60), and continuous or hybrid models fit better than purely discrete models (BIC differences of 129 to 368 points); no framework-implied split of seven items with verified or partly verified wording (r1, r2, r3, r4, r5, r8, r9) improves on a single factor (BIC +8.5 to +43.4). Cross-country invariance is partial and depends on the number of classes, and the reliability of the latent score varies across countries from 0.35 to 0.65 depending on the prior used. With the latent score, productivity slopes are positive in most countries, heterogeneous in most specifications and flatten at high levels of the score (0.164 in the lower third, 0.013 in the upper third); allowing a common level-dependent shape reduces cross-country heterogeneity, so part of it may reflect adoption level, ceiling or measurement error. A sensitivity analysis that excludes r10 and r11 (the seven items just listed) gives the same conclusions: a common latent slope lowers out-of-sample mean squared error by 1.4% (corrected 95% CI 0.0044 to 0.0137), contingency, country-specific slopes and level-dependent shapes bring no reliable gain (corrected p of at least 0.39), and the reliability of this score by country is 0.47 to 0.67 with a pooled prior. These analyses support the use of the three practice indicators as separate variables: a single score masks the practice-specific heterogeneity found in Section 6.4.</w:t>
      </w:r>
    </w:p>
    <w:p>
      <w:pPr>
        <w:keepNext/>
        <w:spacing w:before="120"/>
        <w:jc w:val="center"/>
      </w:pPr>
      <w:r>
        <w:drawing>
          <wp:inline distT="0" distB="0" distL="0" distR="0">
            <wp:extent cx="5715000" cy="1666875"/>
            <wp:effectExtent t="0" r="0" b="0" l="0"/>
            <wp:docPr id="1" name="dim" descr="dim" title="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668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Complementary analysis of latent structure (six common items). Left: polychoric eigenvalues; centre: two-factor loadings (assumes code order = ordinal order); right: observed versus independence-expected combinations of r2, r4, r8.</w:t>
      </w:r>
    </w:p>
    <w:p>
      <w:pPr>
        <w:pStyle w:val="Heading1"/>
        <w:spacing w:after="160" w:before="360"/>
      </w:pPr>
      <w:r>
        <w:rPr>
          <w:rFonts w:ascii="Times New Roman" w:cs="Times New Roman" w:eastAsia="Times New Roman" w:hAnsi="Times New Roman"/>
          <w:b/>
          <w:bCs/>
          <w:sz w:val="28"/>
          <w:szCs w:val="28"/>
        </w:rPr>
        <w:t xml:space="preserve">7. Discussion</w:t>
      </w:r>
    </w:p>
    <w:p>
      <w:pPr>
        <w:pStyle w:val="Heading2"/>
        <w:spacing w:after="120" w:before="240"/>
      </w:pPr>
      <w:r>
        <w:rPr>
          <w:rFonts w:ascii="Times New Roman" w:cs="Times New Roman" w:eastAsia="Times New Roman" w:hAnsi="Times New Roman"/>
          <w:b/>
          <w:bCs/>
          <w:sz w:val="24"/>
          <w:szCs w:val="24"/>
        </w:rPr>
        <w:t xml:space="preserve">7.1 Answer to the central question</w:t>
      </w:r>
    </w:p>
    <w:p>
      <w:pPr>
        <w:spacing w:after="120" w:line="300"/>
        <w:jc w:val="both"/>
      </w:pPr>
      <w:r>
        <w:rPr>
          <w:rFonts w:ascii="Times New Roman" w:cs="Times New Roman" w:eastAsia="Times New Roman" w:hAnsi="Times New Roman"/>
        </w:rPr>
        <w:t xml:space="preserve">The three practices do not show the same associations with productivity: incentives are most strongly associated, monitoring less so, targets not at all. The association of incentives appears to vary strongly across the seven countries, but this heterogeneity is statistically fragile (it weakens with weights and with wild cluster inference), and no heterogeneity was detected for monitoring or targets with productivity. No evidence of joint effects and no reliable organisational contingencies were found. A common model of the three practices is not detectably improved on out of sample by country-specific or contingent slopes, a partial-pooling model gives the best point estimate, and a model estimated on the other six countries is close to, but slightly worse than, a local one. The common model remains the predictive benchmark, but the comparison has limited power and cannot establish equivalence.</w:t>
      </w:r>
    </w:p>
    <w:p>
      <w:pPr>
        <w:pStyle w:val="Heading2"/>
        <w:spacing w:after="120" w:before="240"/>
      </w:pPr>
      <w:r>
        <w:rPr>
          <w:rFonts w:ascii="Times New Roman" w:cs="Times New Roman" w:eastAsia="Times New Roman" w:hAnsi="Times New Roman"/>
          <w:b/>
          <w:bCs/>
          <w:sz w:val="24"/>
          <w:szCs w:val="24"/>
        </w:rPr>
        <w:t xml:space="preserve">7.2 Interpretation through management control concepts</w:t>
      </w:r>
    </w:p>
    <w:p>
      <w:pPr>
        <w:spacing w:after="120" w:line="300"/>
        <w:jc w:val="both"/>
      </w:pPr>
      <w:r>
        <w:rPr>
          <w:rFonts w:ascii="Times New Roman" w:cs="Times New Roman" w:eastAsia="Times New Roman" w:hAnsi="Times New Roman"/>
        </w:rPr>
        <w:t xml:space="preserve">Read as control mechanisms, the results concern reward control most: the estimated association of incentives is the strongest and the most country-dependent, which is compatible with the idea that rewards depend on how they are designed and used locally, a point on which the data are silent. The association of monitoring (cybernetic and diagnostic control) is more homogeneous and present in three countries, and targets (planning and results control) show little association with productivity. The absence of detectable interactions means that presence indicators do not reveal combined effects, although the overlap between the targets and incentives items limits this inference. Whether practices form a coherent system (Grabner &amp; Moers, 2013) or are used diagnostically or interactively (Simons, 1995) cannot be assessed, so the contribution to the control literature is a precise statement of what presence-based data can and cannot show.</w:t>
      </w:r>
    </w:p>
    <w:p>
      <w:pPr>
        <w:pStyle w:val="Heading2"/>
        <w:spacing w:after="120" w:before="240"/>
      </w:pPr>
      <w:r>
        <w:rPr>
          <w:rFonts w:ascii="Times New Roman" w:cs="Times New Roman" w:eastAsia="Times New Roman" w:hAnsi="Times New Roman"/>
          <w:b/>
          <w:bCs/>
          <w:sz w:val="24"/>
          <w:szCs w:val="24"/>
        </w:rPr>
        <w:t xml:space="preserve">7.3 Interpretation through general management frameworks</w:t>
      </w:r>
    </w:p>
    <w:p>
      <w:pPr>
        <w:spacing w:after="120" w:line="300"/>
        <w:jc w:val="both"/>
      </w:pPr>
      <w:r>
        <w:rPr>
          <w:rFonts w:ascii="Times New Roman" w:cs="Times New Roman" w:eastAsia="Times New Roman" w:hAnsi="Times New Roman"/>
        </w:rPr>
        <w:t xml:space="preserve">The universal-technology reading is supported for incentives and monitoring in some countries (incentives in five of seven, monitoring in three) but not for targets and not uniformly. The contingency reading is not supported with the organisational contingencies available. The institutional and transfer reading is consistent with suggestive heterogeneity for incentives and with imperfect single-country transfer, but the data cannot separate institutional explanations from composition, measurement error and ceiling effects, and country effects are not measures of culture or institutions. Decoupling and ceremonial adoption would require measures of integration and use.</w:t>
      </w:r>
    </w:p>
    <w:p>
      <w:pPr>
        <w:pStyle w:val="Heading2"/>
        <w:spacing w:after="120" w:before="240"/>
      </w:pPr>
      <w:r>
        <w:rPr>
          <w:rFonts w:ascii="Times New Roman" w:cs="Times New Roman" w:eastAsia="Times New Roman" w:hAnsi="Times New Roman"/>
          <w:b/>
          <w:bCs/>
          <w:sz w:val="24"/>
          <w:szCs w:val="24"/>
        </w:rPr>
        <w:t xml:space="preserve">7.4 What cannot be concluded</w:t>
      </w:r>
    </w:p>
    <w:p>
      <w:pPr>
        <w:spacing w:after="120" w:line="300"/>
        <w:jc w:val="both"/>
      </w:pPr>
      <w:r>
        <w:rPr>
          <w:rFonts w:ascii="Times New Roman" w:cs="Times New Roman" w:eastAsia="Times New Roman" w:hAnsi="Times New Roman"/>
        </w:rPr>
        <w:t xml:space="preserve">That each country needs its own control model, or that contexts are irrelevant, is not established; neither is it established that a pooled model is equivalent to a local one. The associations are small (maximum local R² of 0.08), practices are single reported indicators of partly unverified wording, and integration, use and institutional characteristics are not measured.</w:t>
      </w:r>
    </w:p>
    <w:p>
      <w:pPr>
        <w:pStyle w:val="Heading1"/>
        <w:spacing w:after="160" w:before="360"/>
      </w:pPr>
      <w:r>
        <w:rPr>
          <w:rFonts w:ascii="Times New Roman" w:cs="Times New Roman" w:eastAsia="Times New Roman" w:hAnsi="Times New Roman"/>
          <w:b/>
          <w:bCs/>
          <w:sz w:val="28"/>
          <w:szCs w:val="28"/>
        </w:rPr>
        <w:t xml:space="preserve">8. Contributions</w:t>
      </w:r>
    </w:p>
    <w:p>
      <w:pPr>
        <w:pStyle w:val="ListParagraph"/>
        <w:numPr>
          <w:ilvl w:val="0"/>
          <w:numId w:val="3"/>
        </w:numPr>
        <w:spacing w:after="80" w:line="290"/>
      </w:pPr>
      <w:r>
        <w:rPr>
          <w:rFonts w:ascii="Times New Roman" w:cs="Times New Roman" w:eastAsia="Times New Roman" w:hAnsi="Times New Roman"/>
          <w:b/>
          <w:bCs/>
        </w:rPr>
        <w:t xml:space="preserve">Practice-level rather than score-level evidence.</w:t>
      </w:r>
      <w:r>
        <w:rPr>
          <w:rFonts w:ascii="Times New Roman" w:cs="Times New Roman" w:eastAsia="Times New Roman" w:hAnsi="Times New Roman"/>
        </w:rPr>
        <w:t xml:space="preserve"> Treating monitoring, targets and incentives separately suggests heterogeneity that a single score conceals: it concerns incentives and productivity, is robust to outliers and to the exclusion of any country, and is weaker under weighting and clustered inference.</w:t>
      </w:r>
    </w:p>
    <w:p>
      <w:pPr>
        <w:pStyle w:val="ListParagraph"/>
        <w:numPr>
          <w:ilvl w:val="0"/>
          <w:numId w:val="3"/>
        </w:numPr>
        <w:spacing w:after="80" w:line="290"/>
      </w:pPr>
      <w:r>
        <w:rPr>
          <w:rFonts w:ascii="Times New Roman" w:cs="Times New Roman" w:eastAsia="Times New Roman" w:hAnsi="Times New Roman"/>
          <w:b/>
          <w:bCs/>
        </w:rPr>
        <w:t xml:space="preserve">Heterogeneity and prediction.</w:t>
      </w:r>
      <w:r>
        <w:rPr>
          <w:rFonts w:ascii="Times New Roman" w:cs="Times New Roman" w:eastAsia="Times New Roman" w:hAnsi="Times New Roman"/>
        </w:rPr>
        <w:t xml:space="preserve"> Heterogeneity that is large in magnitude does not produce a detectable out-of-sample gain from country-specific slopes at this sample size; the paper quantifies why (oracle gain versus estimation cost) and shows that partial pooling gives the best point estimate without reliable difference from the extremes. The contribution is a clarification of what heterogeneity tests and predictive tests can and cannot answer, not a new method.</w:t>
      </w:r>
    </w:p>
    <w:p>
      <w:pPr>
        <w:pStyle w:val="ListParagraph"/>
        <w:numPr>
          <w:ilvl w:val="0"/>
          <w:numId w:val="3"/>
        </w:numPr>
        <w:spacing w:after="80" w:line="290"/>
      </w:pPr>
      <w:r>
        <w:rPr>
          <w:rFonts w:ascii="Times New Roman" w:cs="Times New Roman" w:eastAsia="Times New Roman" w:hAnsi="Times New Roman"/>
          <w:b/>
          <w:bCs/>
        </w:rPr>
        <w:t xml:space="preserve">Conditional transferability.</w:t>
      </w:r>
      <w:r>
        <w:rPr>
          <w:rFonts w:ascii="Times New Roman" w:cs="Times New Roman" w:eastAsia="Times New Roman" w:hAnsi="Times New Roman"/>
        </w:rPr>
        <w:t xml:space="preserve"> Models estimated in a single country transfer worse than local models in most pairs, about half of the loss arising from the controls; models estimated on the other six countries are close to local ones but detectably slightly worse.</w:t>
      </w:r>
    </w:p>
    <w:p>
      <w:pPr>
        <w:pStyle w:val="ListParagraph"/>
        <w:numPr>
          <w:ilvl w:val="0"/>
          <w:numId w:val="3"/>
        </w:numPr>
        <w:spacing w:after="80" w:line="290"/>
      </w:pPr>
      <w:r>
        <w:rPr>
          <w:rFonts w:ascii="Times New Roman" w:cs="Times New Roman" w:eastAsia="Times New Roman" w:hAnsi="Times New Roman"/>
          <w:b/>
          <w:bCs/>
        </w:rPr>
        <w:t xml:space="preserve">Bridge to management control.</w:t>
      </w:r>
      <w:r>
        <w:rPr>
          <w:rFonts w:ascii="Times New Roman" w:cs="Times New Roman" w:eastAsia="Times New Roman" w:hAnsi="Times New Roman"/>
        </w:rPr>
        <w:t xml:space="preserve"> The practices are interpreted as observable cybernetic, results and reward mechanisms, and the paper states which control constructs (integration, use, consistency, administrative and cultural controls) presence-based data cannot address.</w:t>
      </w:r>
    </w:p>
    <w:p>
      <w:pPr>
        <w:pStyle w:val="Heading1"/>
        <w:spacing w:after="160" w:before="360"/>
      </w:pPr>
      <w:r>
        <w:rPr>
          <w:rFonts w:ascii="Times New Roman" w:cs="Times New Roman" w:eastAsia="Times New Roman" w:hAnsi="Times New Roman"/>
          <w:b/>
          <w:bCs/>
          <w:sz w:val="28"/>
          <w:szCs w:val="28"/>
        </w:rPr>
        <w:t xml:space="preserve">9. Managerial and policy implications</w:t>
      </w:r>
    </w:p>
    <w:p>
      <w:pPr>
        <w:spacing w:after="120" w:line="300"/>
        <w:jc w:val="both"/>
      </w:pPr>
      <w:r>
        <w:rPr>
          <w:rFonts w:ascii="Times New Roman" w:cs="Times New Roman" w:eastAsia="Times New Roman" w:hAnsi="Times New Roman"/>
        </w:rPr>
        <w:t xml:space="preserve">Implications are cautious. Programmes that promote monitoring, targets and incentives should not assume identical associations everywhere: the estimated association of incentives with productivity differs markedly across the countries studied, although the evidence for this is statistically fragile. The data neither show that a locally estimated model is needed nor that it is unnecessary: models estimated on several countries were close to local ones but slightly worse. Adoption of practices is not evidence of their integration; organisations adopting practices from elsewhere should assess how the practices are used and aligned with local decision processes and incentives.</w:t>
      </w:r>
    </w:p>
    <w:p>
      <w:pPr>
        <w:pStyle w:val="Heading1"/>
        <w:spacing w:after="160" w:before="360"/>
      </w:pPr>
      <w:r>
        <w:rPr>
          <w:rFonts w:ascii="Times New Roman" w:cs="Times New Roman" w:eastAsia="Times New Roman" w:hAnsi="Times New Roman"/>
          <w:b/>
          <w:bCs/>
          <w:sz w:val="28"/>
          <w:szCs w:val="28"/>
        </w:rPr>
        <w:t xml:space="preserve">10. Limitations and future research</w:t>
      </w:r>
    </w:p>
    <w:p>
      <w:pPr>
        <w:spacing w:after="120" w:line="300"/>
        <w:jc w:val="both"/>
      </w:pPr>
      <w:r>
        <w:rPr>
          <w:rFonts w:ascii="Times New Roman" w:cs="Times New Roman" w:eastAsia="Times New Roman" w:hAnsi="Times New Roman"/>
          <w:b/>
          <w:bCs/>
        </w:rPr>
        <w:t xml:space="preserve">Priority limitations.</w:t>
      </w:r>
      <w:r>
        <w:rPr>
          <w:rFonts w:ascii="Times New Roman" w:cs="Times New Roman" w:eastAsia="Times New Roman" w:hAnsi="Times New Roman"/>
        </w:rPr>
        <w:t xml:space="preserve"> (i) The wording and categories of the practice items could not be verified against the original questionnaires; r2 and r8 are partly verified and r4 is inferred, and the author has not read the questionnaires. Verification against the original questionnaires and labelled files is required before submission, including the relation between r4 and r8 and the atypical profile of Japan. (ii) The practices are single reported binary indicators; measurement invariance cannot be tested for them, and differences in reporting across countries cannot be excluded. (iii) The comparisons have limited power: with an incremental R² of about 2%, the corrected intervals cannot exclude gains of the size predicted by the heterogeneity, and equivalence is not established. (iv) Inference on heterogeneity depends on the treatment of the design: HC3 and weighted analyses differ, and the wild cluster bootstrap with 7 to 15 clusters per country is conservative. (v) Associations are cross-sectional and unweighted in the main analyses; growth outcomes condition on survival and may reflect reverse causality; sales are in local currency and the growth variables' definitions are assumed. (vi) With seven countries, institutional or cultural moderators cannot be identified, and country effects are not measures of either. (vii) Hypotheses were formulated after exploratory work and not pre-registered. (viii) The literature review is a verified selection, not a systematic review of the transfer of control practices, and the bibliographic records were checked without reading the full texts.</w:t>
      </w:r>
    </w:p>
    <w:p>
      <w:pPr>
        <w:spacing w:after="120" w:line="300"/>
        <w:jc w:val="both"/>
      </w:pPr>
      <w:r>
        <w:rPr>
          <w:rFonts w:ascii="Times New Roman" w:cs="Times New Roman" w:eastAsia="Times New Roman" w:hAnsi="Times New Roman"/>
          <w:b/>
          <w:bCs/>
        </w:rPr>
        <w:t xml:space="preserve">Future research.</w:t>
      </w:r>
      <w:r>
        <w:rPr>
          <w:rFonts w:ascii="Times New Roman" w:cs="Times New Roman" w:eastAsia="Times New Roman" w:hAnsi="Times New Roman"/>
        </w:rPr>
        <w:t xml:space="preserve"> Measure integration and use of controls directly (diagnostic and interactive use, articulation among controls, managerial ownership); collect panel data around the introduction of practices; use verified institutional indicators with many more countries and multilevel designs. Applications to other contexts, to artificial intelligence and internal audit, and to organisational readiness for change are outside the scope of this paper.</w:t>
      </w:r>
    </w:p>
    <w:p>
      <w:pPr>
        <w:pStyle w:val="Heading1"/>
        <w:spacing w:after="160" w:before="360"/>
      </w:pPr>
      <w:r>
        <w:rPr>
          <w:rFonts w:ascii="Times New Roman" w:cs="Times New Roman" w:eastAsia="Times New Roman" w:hAnsi="Times New Roman"/>
          <w:b/>
          <w:bCs/>
          <w:sz w:val="28"/>
          <w:szCs w:val="28"/>
        </w:rPr>
        <w:t xml:space="preserve">11. Conclusion</w:t>
      </w:r>
    </w:p>
    <w:p>
      <w:pPr>
        <w:spacing w:after="120" w:line="300"/>
        <w:jc w:val="both"/>
      </w:pPr>
      <w:r>
        <w:rPr>
          <w:rFonts w:ascii="Times New Roman" w:cs="Times New Roman" w:eastAsia="Times New Roman" w:hAnsi="Times New Roman"/>
        </w:rPr>
        <w:t xml:space="preserve">Monitoring, targets and incentives, entered separately, show different associations with productivity. The association of incentives appears to vary across seven advanced economies, although this heterogeneity is statistically fragile, and no joint effects or reliable organisational contingencies were found. A common model of the three practices is not detectably improved on out of sample by country-specific or contingent slopes, mainly because the explained variance is small relative to the cost of estimating additional slopes; a model estimated on other countries is close to, but slightly worse than, a local one. The evidence supports limited, practice-specific heterogeneity and conditional transferability, with limited statistical power; it does not show that each country requires its own control model, and the role of integration and use remains a theoretical question for studies that measure them directly.</w:t>
      </w:r>
    </w:p>
    <w:p>
      <w:pPr>
        <w:pStyle w:val="Heading1"/>
        <w:spacing w:after="160" w:before="360"/>
      </w:pPr>
      <w:r>
        <w:rPr>
          <w:rFonts w:ascii="Times New Roman" w:cs="Times New Roman" w:eastAsia="Times New Roman" w:hAnsi="Times New Roman"/>
          <w:b/>
          <w:bCs/>
          <w:sz w:val="28"/>
          <w:szCs w:val="28"/>
        </w:rPr>
        <w:t xml:space="preserve">Data availability and reproducibility</w:t>
      </w:r>
    </w:p>
    <w:p>
      <w:pPr>
        <w:spacing w:after="120" w:line="300"/>
        <w:jc w:val="both"/>
      </w:pPr>
      <w:r>
        <w:rPr>
          <w:rFonts w:ascii="Times New Roman" w:cs="Times New Roman" w:eastAsia="Times New Roman" w:hAnsi="Times New Roman"/>
        </w:rPr>
        <w:t xml:space="preserve">Analyses used a merged WBES file supplied by the research team. Scripts, seeds, software versions and logs are in the project repository (MCS_G7_RESEARCH/02_SCRIPTS, 07_REPRODUCIBILITY, 08_CONTEXTUAL_FIT). Earlier versions of the manuscript and the dataset were not overwritten.</w:t>
      </w:r>
    </w:p>
    <w:p>
      <w:pPr>
        <w:pStyle w:val="Heading1"/>
        <w:spacing w:after="160" w:before="360"/>
      </w:pPr>
      <w:r>
        <w:rPr>
          <w:rFonts w:ascii="Times New Roman" w:cs="Times New Roman" w:eastAsia="Times New Roman" w:hAnsi="Times New Roman"/>
          <w:b/>
          <w:bCs/>
          <w:sz w:val="28"/>
          <w:szCs w:val="28"/>
        </w:rPr>
        <w:t xml:space="preserve">References</w:t>
      </w:r>
    </w:p>
    <w:p>
      <w:pPr>
        <w:spacing w:after="100" w:line="270"/>
        <w:ind w:left="567" w:hanging="567"/>
      </w:pPr>
      <w:r>
        <w:rPr>
          <w:rFonts w:ascii="Times New Roman" w:cs="Times New Roman" w:eastAsia="Times New Roman" w:hAnsi="Times New Roman"/>
          <w:sz w:val="21"/>
          <w:szCs w:val="21"/>
        </w:rPr>
        <w:t xml:space="preserve">Athey, S., &amp; Stern, S. (1998). </w:t>
      </w:r>
      <w:r>
        <w:rPr>
          <w:rFonts w:ascii="Times New Roman" w:cs="Times New Roman" w:eastAsia="Times New Roman" w:hAnsi="Times New Roman"/>
          <w:i/>
          <w:iCs/>
          <w:sz w:val="21"/>
          <w:szCs w:val="21"/>
        </w:rPr>
        <w:t xml:space="preserve">An empirical framework for testing theories about complementarity in organizational design</w:t>
      </w:r>
      <w:r>
        <w:rPr>
          <w:rFonts w:ascii="Times New Roman" w:cs="Times New Roman" w:eastAsia="Times New Roman" w:hAnsi="Times New Roman"/>
          <w:sz w:val="21"/>
          <w:szCs w:val="21"/>
        </w:rPr>
        <w:t xml:space="preserve"> (NBER Working Paper No. 6600). National Bureau of Economic Research.</w:t>
      </w:r>
    </w:p>
    <w:p>
      <w:pPr>
        <w:spacing w:after="100" w:line="270"/>
        <w:ind w:left="567" w:hanging="567"/>
      </w:pPr>
      <w:r>
        <w:rPr>
          <w:rFonts w:ascii="Times New Roman" w:cs="Times New Roman" w:eastAsia="Times New Roman" w:hAnsi="Times New Roman"/>
          <w:sz w:val="21"/>
          <w:szCs w:val="21"/>
        </w:rPr>
        <w:t xml:space="preserve">Bloom, N., Eifert, B., Mahajan, A., McKenzie, D., &amp; Roberts, J. (2013). Does management matter? Evidence from India. </w:t>
      </w:r>
      <w:r>
        <w:rPr>
          <w:rFonts w:ascii="Times New Roman" w:cs="Times New Roman" w:eastAsia="Times New Roman" w:hAnsi="Times New Roman"/>
          <w:i/>
          <w:iCs/>
          <w:sz w:val="21"/>
          <w:szCs w:val="21"/>
        </w:rPr>
        <w:t xml:space="preserve">Quarterly Journal of Economics, 128</w:t>
      </w:r>
      <w:r>
        <w:rPr>
          <w:rFonts w:ascii="Times New Roman" w:cs="Times New Roman" w:eastAsia="Times New Roman" w:hAnsi="Times New Roman"/>
          <w:sz w:val="21"/>
          <w:szCs w:val="21"/>
        </w:rPr>
        <w:t xml:space="preserve">(1), 1–51. https://doi.org/10.1093/qje/qjs044</w:t>
      </w:r>
    </w:p>
    <w:p>
      <w:pPr>
        <w:spacing w:after="100" w:line="270"/>
        <w:ind w:left="567" w:hanging="567"/>
      </w:pPr>
      <w:r>
        <w:rPr>
          <w:rFonts w:ascii="Times New Roman" w:cs="Times New Roman" w:eastAsia="Times New Roman" w:hAnsi="Times New Roman"/>
          <w:sz w:val="21"/>
          <w:szCs w:val="21"/>
        </w:rPr>
        <w:t xml:space="preserve">Bloom, N., Genakos, C., Sadun, R., &amp; Van Reenen, J. (2012). Management practices across firms and countries. </w:t>
      </w:r>
      <w:r>
        <w:rPr>
          <w:rFonts w:ascii="Times New Roman" w:cs="Times New Roman" w:eastAsia="Times New Roman" w:hAnsi="Times New Roman"/>
          <w:i/>
          <w:iCs/>
          <w:sz w:val="21"/>
          <w:szCs w:val="21"/>
        </w:rPr>
        <w:t xml:space="preserve">Academy of Management Perspectives, 26</w:t>
      </w:r>
      <w:r>
        <w:rPr>
          <w:rFonts w:ascii="Times New Roman" w:cs="Times New Roman" w:eastAsia="Times New Roman" w:hAnsi="Times New Roman"/>
          <w:sz w:val="21"/>
          <w:szCs w:val="21"/>
        </w:rPr>
        <w:t xml:space="preserve">(1), 12–33. https://doi.org/10.5465/amp.2011.0077</w:t>
      </w:r>
    </w:p>
    <w:p>
      <w:pPr>
        <w:spacing w:after="100" w:line="270"/>
        <w:ind w:left="567" w:hanging="567"/>
      </w:pPr>
      <w:r>
        <w:rPr>
          <w:rFonts w:ascii="Times New Roman" w:cs="Times New Roman" w:eastAsia="Times New Roman" w:hAnsi="Times New Roman"/>
          <w:sz w:val="21"/>
          <w:szCs w:val="21"/>
        </w:rPr>
        <w:t xml:space="preserve">Bloom, N., Sadun, R., &amp; Van Reenen, J. (2016). </w:t>
      </w:r>
      <w:r>
        <w:rPr>
          <w:rFonts w:ascii="Times New Roman" w:cs="Times New Roman" w:eastAsia="Times New Roman" w:hAnsi="Times New Roman"/>
          <w:i/>
          <w:iCs/>
          <w:sz w:val="21"/>
          <w:szCs w:val="21"/>
        </w:rPr>
        <w:t xml:space="preserve">Management as a technology?</w:t>
      </w:r>
      <w:r>
        <w:rPr>
          <w:rFonts w:ascii="Times New Roman" w:cs="Times New Roman" w:eastAsia="Times New Roman" w:hAnsi="Times New Roman"/>
          <w:sz w:val="21"/>
          <w:szCs w:val="21"/>
        </w:rPr>
        <w:t xml:space="preserve"> (NBER Working Paper No. 22327). National Bureau of Economic Research.</w:t>
      </w:r>
    </w:p>
    <w:p>
      <w:pPr>
        <w:spacing w:after="100" w:line="270"/>
        <w:ind w:left="567" w:hanging="567"/>
      </w:pPr>
      <w:r>
        <w:rPr>
          <w:rFonts w:ascii="Times New Roman" w:cs="Times New Roman" w:eastAsia="Times New Roman" w:hAnsi="Times New Roman"/>
          <w:sz w:val="21"/>
          <w:szCs w:val="21"/>
        </w:rPr>
        <w:t xml:space="preserve">Bloom, N., &amp; Van Reenen, J. (2007). Measuring and explaining management practices across firms and countries. </w:t>
      </w:r>
      <w:r>
        <w:rPr>
          <w:rFonts w:ascii="Times New Roman" w:cs="Times New Roman" w:eastAsia="Times New Roman" w:hAnsi="Times New Roman"/>
          <w:i/>
          <w:iCs/>
          <w:sz w:val="21"/>
          <w:szCs w:val="21"/>
        </w:rPr>
        <w:t xml:space="preserve">Quarterly Journal of Economics, 122</w:t>
      </w:r>
      <w:r>
        <w:rPr>
          <w:rFonts w:ascii="Times New Roman" w:cs="Times New Roman" w:eastAsia="Times New Roman" w:hAnsi="Times New Roman"/>
          <w:sz w:val="21"/>
          <w:szCs w:val="21"/>
        </w:rPr>
        <w:t xml:space="preserve">(4), 1351–1408. https://doi.org/10.1162/qjec.2007.122.4.1351</w:t>
      </w:r>
    </w:p>
    <w:p>
      <w:pPr>
        <w:spacing w:after="100" w:line="270"/>
        <w:ind w:left="567" w:hanging="567"/>
      </w:pPr>
      <w:r>
        <w:rPr>
          <w:rFonts w:ascii="Times New Roman" w:cs="Times New Roman" w:eastAsia="Times New Roman" w:hAnsi="Times New Roman"/>
          <w:sz w:val="21"/>
          <w:szCs w:val="21"/>
        </w:rPr>
        <w:t xml:space="preserve">Bloom, N., &amp; Van Reenen, J. (2010). Why do management practices differ across firms and countries? </w:t>
      </w:r>
      <w:r>
        <w:rPr>
          <w:rFonts w:ascii="Times New Roman" w:cs="Times New Roman" w:eastAsia="Times New Roman" w:hAnsi="Times New Roman"/>
          <w:i/>
          <w:iCs/>
          <w:sz w:val="21"/>
          <w:szCs w:val="21"/>
        </w:rPr>
        <w:t xml:space="preserve">Journal of Economic Perspectives, 24</w:t>
      </w:r>
      <w:r>
        <w:rPr>
          <w:rFonts w:ascii="Times New Roman" w:cs="Times New Roman" w:eastAsia="Times New Roman" w:hAnsi="Times New Roman"/>
          <w:sz w:val="21"/>
          <w:szCs w:val="21"/>
        </w:rPr>
        <w:t xml:space="preserve">(1), 203–224. https://doi.org/10.1257/jep.24.1.203</w:t>
      </w:r>
    </w:p>
    <w:p>
      <w:pPr>
        <w:spacing w:after="100" w:line="270"/>
        <w:ind w:left="567" w:hanging="567"/>
      </w:pPr>
      <w:r>
        <w:rPr>
          <w:rFonts w:ascii="Times New Roman" w:cs="Times New Roman" w:eastAsia="Times New Roman" w:hAnsi="Times New Roman"/>
          <w:sz w:val="21"/>
          <w:szCs w:val="21"/>
        </w:rPr>
        <w:t xml:space="preserve">Cameron, A. C., Gelbach, J. B., &amp; Miller, D. L. (2008). Bootstrap-based improvements for inference with clustered errors. </w:t>
      </w:r>
      <w:r>
        <w:rPr>
          <w:rFonts w:ascii="Times New Roman" w:cs="Times New Roman" w:eastAsia="Times New Roman" w:hAnsi="Times New Roman"/>
          <w:i/>
          <w:iCs/>
          <w:sz w:val="21"/>
          <w:szCs w:val="21"/>
        </w:rPr>
        <w:t xml:space="preserve">Review of Economics and Statistics, 90</w:t>
      </w:r>
      <w:r>
        <w:rPr>
          <w:rFonts w:ascii="Times New Roman" w:cs="Times New Roman" w:eastAsia="Times New Roman" w:hAnsi="Times New Roman"/>
          <w:sz w:val="21"/>
          <w:szCs w:val="21"/>
        </w:rPr>
        <w:t xml:space="preserve">(3), 414–427. https://doi.org/10.1162/rest.90.3.414</w:t>
      </w:r>
    </w:p>
    <w:p>
      <w:pPr>
        <w:spacing w:after="100" w:line="270"/>
        <w:ind w:left="567" w:hanging="567"/>
      </w:pPr>
      <w:r>
        <w:rPr>
          <w:rFonts w:ascii="Times New Roman" w:cs="Times New Roman" w:eastAsia="Times New Roman" w:hAnsi="Times New Roman"/>
          <w:sz w:val="21"/>
          <w:szCs w:val="21"/>
        </w:rPr>
        <w:t xml:space="preserve">Chenhall, R. H. (2003). Management control systems design within its organizational context: Findings from contingency-based research and directions for the future. </w:t>
      </w:r>
      <w:r>
        <w:rPr>
          <w:rFonts w:ascii="Times New Roman" w:cs="Times New Roman" w:eastAsia="Times New Roman" w:hAnsi="Times New Roman"/>
          <w:i/>
          <w:iCs/>
          <w:sz w:val="21"/>
          <w:szCs w:val="21"/>
        </w:rPr>
        <w:t xml:space="preserve">Accounting, Organizations and Society, 28</w:t>
      </w:r>
      <w:r>
        <w:rPr>
          <w:rFonts w:ascii="Times New Roman" w:cs="Times New Roman" w:eastAsia="Times New Roman" w:hAnsi="Times New Roman"/>
          <w:sz w:val="21"/>
          <w:szCs w:val="21"/>
        </w:rPr>
        <w:t xml:space="preserve">(2–3), 127–168.</w:t>
      </w:r>
    </w:p>
    <w:p>
      <w:pPr>
        <w:spacing w:after="100" w:line="270"/>
        <w:ind w:left="567" w:hanging="567"/>
      </w:pPr>
      <w:r>
        <w:rPr>
          <w:rFonts w:ascii="Times New Roman" w:cs="Times New Roman" w:eastAsia="Times New Roman" w:hAnsi="Times New Roman"/>
          <w:sz w:val="21"/>
          <w:szCs w:val="21"/>
        </w:rPr>
        <w:t xml:space="preserve">DiMaggio, P. J., &amp; Powell, W. W. (1983). The iron cage revisited: Institutional isomorphism and collective rationality in organizational fields. </w:t>
      </w:r>
      <w:r>
        <w:rPr>
          <w:rFonts w:ascii="Times New Roman" w:cs="Times New Roman" w:eastAsia="Times New Roman" w:hAnsi="Times New Roman"/>
          <w:i/>
          <w:iCs/>
          <w:sz w:val="21"/>
          <w:szCs w:val="21"/>
        </w:rPr>
        <w:t xml:space="preserve">American Sociological Review, 48</w:t>
      </w:r>
      <w:r>
        <w:rPr>
          <w:rFonts w:ascii="Times New Roman" w:cs="Times New Roman" w:eastAsia="Times New Roman" w:hAnsi="Times New Roman"/>
          <w:sz w:val="21"/>
          <w:szCs w:val="21"/>
        </w:rPr>
        <w:t xml:space="preserve">(2), 147–160.</w:t>
      </w:r>
    </w:p>
    <w:p>
      <w:pPr>
        <w:spacing w:after="100" w:line="270"/>
        <w:ind w:left="567" w:hanging="567"/>
      </w:pPr>
      <w:r>
        <w:rPr>
          <w:rFonts w:ascii="Times New Roman" w:cs="Times New Roman" w:eastAsia="Times New Roman" w:hAnsi="Times New Roman"/>
          <w:sz w:val="21"/>
          <w:szCs w:val="21"/>
        </w:rPr>
        <w:t xml:space="preserve">Donaldson, L. (2001). </w:t>
      </w:r>
      <w:r>
        <w:rPr>
          <w:rFonts w:ascii="Times New Roman" w:cs="Times New Roman" w:eastAsia="Times New Roman" w:hAnsi="Times New Roman"/>
          <w:i/>
          <w:iCs/>
          <w:sz w:val="21"/>
          <w:szCs w:val="21"/>
        </w:rPr>
        <w:t xml:space="preserve">The contingency theory of organizations</w:t>
      </w:r>
      <w:r>
        <w:rPr>
          <w:rFonts w:ascii="Times New Roman" w:cs="Times New Roman" w:eastAsia="Times New Roman" w:hAnsi="Times New Roman"/>
          <w:sz w:val="21"/>
          <w:szCs w:val="21"/>
        </w:rPr>
        <w:t xml:space="preserve">. Sage.</w:t>
      </w:r>
    </w:p>
    <w:p>
      <w:pPr>
        <w:spacing w:after="100" w:line="270"/>
        <w:ind w:left="567" w:hanging="567"/>
      </w:pPr>
      <w:r>
        <w:rPr>
          <w:rFonts w:ascii="Times New Roman" w:cs="Times New Roman" w:eastAsia="Times New Roman" w:hAnsi="Times New Roman"/>
          <w:sz w:val="21"/>
          <w:szCs w:val="21"/>
        </w:rPr>
        <w:t xml:space="preserve">Drazin, R., &amp; Van de Ven, A. H. (1985). Alternative forms of fit in contingency theory. </w:t>
      </w:r>
      <w:r>
        <w:rPr>
          <w:rFonts w:ascii="Times New Roman" w:cs="Times New Roman" w:eastAsia="Times New Roman" w:hAnsi="Times New Roman"/>
          <w:i/>
          <w:iCs/>
          <w:sz w:val="21"/>
          <w:szCs w:val="21"/>
        </w:rPr>
        <w:t xml:space="preserve">Administrative Science Quarterly, 30</w:t>
      </w:r>
      <w:r>
        <w:rPr>
          <w:rFonts w:ascii="Times New Roman" w:cs="Times New Roman" w:eastAsia="Times New Roman" w:hAnsi="Times New Roman"/>
          <w:sz w:val="21"/>
          <w:szCs w:val="21"/>
        </w:rPr>
        <w:t xml:space="preserve">(4), 514–539.</w:t>
      </w:r>
    </w:p>
    <w:p>
      <w:pPr>
        <w:spacing w:after="100" w:line="270"/>
        <w:ind w:left="567" w:hanging="567"/>
      </w:pPr>
      <w:r>
        <w:rPr>
          <w:rFonts w:ascii="Times New Roman" w:cs="Times New Roman" w:eastAsia="Times New Roman" w:hAnsi="Times New Roman"/>
          <w:sz w:val="21"/>
          <w:szCs w:val="21"/>
        </w:rPr>
        <w:t xml:space="preserve">Ferreira, A., &amp; Otley, D. (2009). The design and use of performance management systems: An extended framework for analysis. </w:t>
      </w:r>
      <w:r>
        <w:rPr>
          <w:rFonts w:ascii="Times New Roman" w:cs="Times New Roman" w:eastAsia="Times New Roman" w:hAnsi="Times New Roman"/>
          <w:i/>
          <w:iCs/>
          <w:sz w:val="21"/>
          <w:szCs w:val="21"/>
        </w:rPr>
        <w:t xml:space="preserve">Management Accounting Research, 20</w:t>
      </w:r>
      <w:r>
        <w:rPr>
          <w:rFonts w:ascii="Times New Roman" w:cs="Times New Roman" w:eastAsia="Times New Roman" w:hAnsi="Times New Roman"/>
          <w:sz w:val="21"/>
          <w:szCs w:val="21"/>
        </w:rPr>
        <w:t xml:space="preserve">(4), 263–282. https://doi.org/10.1016/j.mar.2009.07.003</w:t>
      </w:r>
    </w:p>
    <w:p>
      <w:pPr>
        <w:spacing w:after="100" w:line="270"/>
        <w:ind w:left="567" w:hanging="567"/>
      </w:pPr>
      <w:r>
        <w:rPr>
          <w:rFonts w:ascii="Times New Roman" w:cs="Times New Roman" w:eastAsia="Times New Roman" w:hAnsi="Times New Roman"/>
          <w:sz w:val="21"/>
          <w:szCs w:val="21"/>
        </w:rPr>
        <w:t xml:space="preserve">Grabner, I., &amp; Moers, F. (2013). Management control as a system or a package? Conceptual and empirical issues. </w:t>
      </w:r>
      <w:r>
        <w:rPr>
          <w:rFonts w:ascii="Times New Roman" w:cs="Times New Roman" w:eastAsia="Times New Roman" w:hAnsi="Times New Roman"/>
          <w:i/>
          <w:iCs/>
          <w:sz w:val="21"/>
          <w:szCs w:val="21"/>
        </w:rPr>
        <w:t xml:space="preserve">Accounting, Organizations and Society, 38</w:t>
      </w:r>
      <w:r>
        <w:rPr>
          <w:rFonts w:ascii="Times New Roman" w:cs="Times New Roman" w:eastAsia="Times New Roman" w:hAnsi="Times New Roman"/>
          <w:sz w:val="21"/>
          <w:szCs w:val="21"/>
        </w:rPr>
        <w:t xml:space="preserve">(6), 407–419. https://doi.org/10.1016/j.aos.2013.09.002</w:t>
      </w:r>
    </w:p>
    <w:p>
      <w:pPr>
        <w:spacing w:after="100" w:line="270"/>
        <w:ind w:left="567" w:hanging="567"/>
      </w:pPr>
      <w:r>
        <w:rPr>
          <w:rFonts w:ascii="Times New Roman" w:cs="Times New Roman" w:eastAsia="Times New Roman" w:hAnsi="Times New Roman"/>
          <w:sz w:val="21"/>
          <w:szCs w:val="21"/>
        </w:rPr>
        <w:t xml:space="preserve">Hall, P. A., &amp; Soskice, D. (Eds.). (2001). </w:t>
      </w:r>
      <w:r>
        <w:rPr>
          <w:rFonts w:ascii="Times New Roman" w:cs="Times New Roman" w:eastAsia="Times New Roman" w:hAnsi="Times New Roman"/>
          <w:i/>
          <w:iCs/>
          <w:sz w:val="21"/>
          <w:szCs w:val="21"/>
        </w:rPr>
        <w:t xml:space="preserve">Varieties of capitalism: The institutional foundations of comparative advantage</w:t>
      </w:r>
      <w:r>
        <w:rPr>
          <w:rFonts w:ascii="Times New Roman" w:cs="Times New Roman" w:eastAsia="Times New Roman" w:hAnsi="Times New Roman"/>
          <w:sz w:val="21"/>
          <w:szCs w:val="21"/>
        </w:rPr>
        <w:t xml:space="preserve">. Oxford University Press.</w:t>
      </w:r>
    </w:p>
    <w:p>
      <w:pPr>
        <w:spacing w:after="100" w:line="270"/>
        <w:ind w:left="567" w:hanging="567"/>
      </w:pPr>
      <w:r>
        <w:rPr>
          <w:rFonts w:ascii="Times New Roman" w:cs="Times New Roman" w:eastAsia="Times New Roman" w:hAnsi="Times New Roman"/>
          <w:sz w:val="21"/>
          <w:szCs w:val="21"/>
        </w:rPr>
        <w:t xml:space="preserve">Harrison, G. L., &amp; McKinnon, J. L. (1999). Cross-cultural research in management control systems design: A review of the current state. </w:t>
      </w:r>
      <w:r>
        <w:rPr>
          <w:rFonts w:ascii="Times New Roman" w:cs="Times New Roman" w:eastAsia="Times New Roman" w:hAnsi="Times New Roman"/>
          <w:i/>
          <w:iCs/>
          <w:sz w:val="21"/>
          <w:szCs w:val="21"/>
        </w:rPr>
        <w:t xml:space="preserve">Accounting, Organizations and Society, 24</w:t>
      </w:r>
      <w:r>
        <w:rPr>
          <w:rFonts w:ascii="Times New Roman" w:cs="Times New Roman" w:eastAsia="Times New Roman" w:hAnsi="Times New Roman"/>
          <w:sz w:val="21"/>
          <w:szCs w:val="21"/>
        </w:rPr>
        <w:t xml:space="preserve">(5–6), 483–506.</w:t>
      </w:r>
    </w:p>
    <w:p>
      <w:pPr>
        <w:spacing w:after="100" w:line="270"/>
        <w:ind w:left="567" w:hanging="567"/>
      </w:pPr>
      <w:r>
        <w:rPr>
          <w:rFonts w:ascii="Times New Roman" w:cs="Times New Roman" w:eastAsia="Times New Roman" w:hAnsi="Times New Roman"/>
          <w:sz w:val="21"/>
          <w:szCs w:val="21"/>
        </w:rPr>
        <w:t xml:space="preserve">Higgins, J. P. T., &amp; Thompson, S. G. (2002). Quantifying heterogeneity in a meta-analysis. </w:t>
      </w:r>
      <w:r>
        <w:rPr>
          <w:rFonts w:ascii="Times New Roman" w:cs="Times New Roman" w:eastAsia="Times New Roman" w:hAnsi="Times New Roman"/>
          <w:i/>
          <w:iCs/>
          <w:sz w:val="21"/>
          <w:szCs w:val="21"/>
        </w:rPr>
        <w:t xml:space="preserve">Statistics in Medicine, 21</w:t>
      </w:r>
      <w:r>
        <w:rPr>
          <w:rFonts w:ascii="Times New Roman" w:cs="Times New Roman" w:eastAsia="Times New Roman" w:hAnsi="Times New Roman"/>
          <w:sz w:val="21"/>
          <w:szCs w:val="21"/>
        </w:rPr>
        <w:t xml:space="preserve">(11), 1539–1558. https://doi.org/10.1002/sim.1186</w:t>
      </w:r>
    </w:p>
    <w:p>
      <w:pPr>
        <w:spacing w:after="100" w:line="270"/>
        <w:ind w:left="567" w:hanging="567"/>
      </w:pPr>
      <w:r>
        <w:rPr>
          <w:rFonts w:ascii="Times New Roman" w:cs="Times New Roman" w:eastAsia="Times New Roman" w:hAnsi="Times New Roman"/>
          <w:sz w:val="21"/>
          <w:szCs w:val="21"/>
        </w:rPr>
        <w:t xml:space="preserve">Holm, S. (1979). A simple sequentially rejective multiple test procedure. </w:t>
      </w:r>
      <w:r>
        <w:rPr>
          <w:rFonts w:ascii="Times New Roman" w:cs="Times New Roman" w:eastAsia="Times New Roman" w:hAnsi="Times New Roman"/>
          <w:i/>
          <w:iCs/>
          <w:sz w:val="21"/>
          <w:szCs w:val="21"/>
        </w:rPr>
        <w:t xml:space="preserve">Scandinavian Journal of Statistics, 6</w:t>
      </w:r>
      <w:r>
        <w:rPr>
          <w:rFonts w:ascii="Times New Roman" w:cs="Times New Roman" w:eastAsia="Times New Roman" w:hAnsi="Times New Roman"/>
          <w:sz w:val="21"/>
          <w:szCs w:val="21"/>
        </w:rPr>
        <w:t xml:space="preserve">(2), 65–70.</w:t>
      </w:r>
    </w:p>
    <w:p>
      <w:pPr>
        <w:spacing w:after="100" w:line="270"/>
        <w:ind w:left="567" w:hanging="567"/>
      </w:pPr>
      <w:r>
        <w:rPr>
          <w:rFonts w:ascii="Times New Roman" w:cs="Times New Roman" w:eastAsia="Times New Roman" w:hAnsi="Times New Roman"/>
          <w:sz w:val="21"/>
          <w:szCs w:val="21"/>
        </w:rPr>
        <w:t xml:space="preserve">Ichniowski, C., Shaw, K., &amp; Prennushi, G. (1997). The effects of human resource management practices on productivity: A study of steel finishing lines. </w:t>
      </w:r>
      <w:r>
        <w:rPr>
          <w:rFonts w:ascii="Times New Roman" w:cs="Times New Roman" w:eastAsia="Times New Roman" w:hAnsi="Times New Roman"/>
          <w:i/>
          <w:iCs/>
          <w:sz w:val="21"/>
          <w:szCs w:val="21"/>
        </w:rPr>
        <w:t xml:space="preserve">American Economic Review, 87</w:t>
      </w:r>
      <w:r>
        <w:rPr>
          <w:rFonts w:ascii="Times New Roman" w:cs="Times New Roman" w:eastAsia="Times New Roman" w:hAnsi="Times New Roman"/>
          <w:sz w:val="21"/>
          <w:szCs w:val="21"/>
        </w:rPr>
        <w:t xml:space="preserve">(3), 291–313.</w:t>
      </w:r>
    </w:p>
    <w:p>
      <w:pPr>
        <w:spacing w:after="100" w:line="270"/>
        <w:ind w:left="567" w:hanging="567"/>
      </w:pPr>
      <w:r>
        <w:rPr>
          <w:rFonts w:ascii="Times New Roman" w:cs="Times New Roman" w:eastAsia="Times New Roman" w:hAnsi="Times New Roman"/>
          <w:sz w:val="21"/>
          <w:szCs w:val="21"/>
        </w:rPr>
        <w:t xml:space="preserve">Kostova, T. (1999). Transnational transfer of strategic organizational practices: A contextual perspective. </w:t>
      </w:r>
      <w:r>
        <w:rPr>
          <w:rFonts w:ascii="Times New Roman" w:cs="Times New Roman" w:eastAsia="Times New Roman" w:hAnsi="Times New Roman"/>
          <w:i/>
          <w:iCs/>
          <w:sz w:val="21"/>
          <w:szCs w:val="21"/>
        </w:rPr>
        <w:t xml:space="preserve">Academy of Management Review, 24</w:t>
      </w:r>
      <w:r>
        <w:rPr>
          <w:rFonts w:ascii="Times New Roman" w:cs="Times New Roman" w:eastAsia="Times New Roman" w:hAnsi="Times New Roman"/>
          <w:sz w:val="21"/>
          <w:szCs w:val="21"/>
        </w:rPr>
        <w:t xml:space="preserve">(2), 308–324.</w:t>
      </w:r>
    </w:p>
    <w:p>
      <w:pPr>
        <w:spacing w:after="100" w:line="270"/>
        <w:ind w:left="567" w:hanging="567"/>
      </w:pPr>
      <w:r>
        <w:rPr>
          <w:rFonts w:ascii="Times New Roman" w:cs="Times New Roman" w:eastAsia="Times New Roman" w:hAnsi="Times New Roman"/>
          <w:sz w:val="21"/>
          <w:szCs w:val="21"/>
        </w:rPr>
        <w:t xml:space="preserve">Kostova, T., &amp; Roth, K. (2002). Adoption of an organizational practice by subsidiaries of multinational corporations: Institutional and relational effects. </w:t>
      </w:r>
      <w:r>
        <w:rPr>
          <w:rFonts w:ascii="Times New Roman" w:cs="Times New Roman" w:eastAsia="Times New Roman" w:hAnsi="Times New Roman"/>
          <w:i/>
          <w:iCs/>
          <w:sz w:val="21"/>
          <w:szCs w:val="21"/>
        </w:rPr>
        <w:t xml:space="preserve">Academy of Management Journal, 45</w:t>
      </w:r>
      <w:r>
        <w:rPr>
          <w:rFonts w:ascii="Times New Roman" w:cs="Times New Roman" w:eastAsia="Times New Roman" w:hAnsi="Times New Roman"/>
          <w:sz w:val="21"/>
          <w:szCs w:val="21"/>
        </w:rPr>
        <w:t xml:space="preserve">(1), 215–233.</w:t>
      </w:r>
    </w:p>
    <w:p>
      <w:pPr>
        <w:spacing w:after="100" w:line="270"/>
        <w:ind w:left="567" w:hanging="567"/>
      </w:pPr>
      <w:r>
        <w:rPr>
          <w:rFonts w:ascii="Times New Roman" w:cs="Times New Roman" w:eastAsia="Times New Roman" w:hAnsi="Times New Roman"/>
          <w:sz w:val="21"/>
          <w:szCs w:val="21"/>
        </w:rPr>
        <w:t xml:space="preserve">Lawrence, P. R., &amp; Lorsch, J. W. (1967). </w:t>
      </w:r>
      <w:r>
        <w:rPr>
          <w:rFonts w:ascii="Times New Roman" w:cs="Times New Roman" w:eastAsia="Times New Roman" w:hAnsi="Times New Roman"/>
          <w:i/>
          <w:iCs/>
          <w:sz w:val="21"/>
          <w:szCs w:val="21"/>
        </w:rPr>
        <w:t xml:space="preserve">Organization and environment: Managing differentiation and integration</w:t>
      </w:r>
      <w:r>
        <w:rPr>
          <w:rFonts w:ascii="Times New Roman" w:cs="Times New Roman" w:eastAsia="Times New Roman" w:hAnsi="Times New Roman"/>
          <w:sz w:val="21"/>
          <w:szCs w:val="21"/>
        </w:rPr>
        <w:t xml:space="preserve">. Division of Research, Harvard Business School.</w:t>
      </w:r>
    </w:p>
    <w:p>
      <w:pPr>
        <w:spacing w:after="100" w:line="270"/>
        <w:ind w:left="567" w:hanging="567"/>
      </w:pPr>
      <w:r>
        <w:rPr>
          <w:rFonts w:ascii="Times New Roman" w:cs="Times New Roman" w:eastAsia="Times New Roman" w:hAnsi="Times New Roman"/>
          <w:sz w:val="21"/>
          <w:szCs w:val="21"/>
        </w:rPr>
        <w:t xml:space="preserve">Lazear, E. P. (2000). Performance pay and productivity. </w:t>
      </w:r>
      <w:r>
        <w:rPr>
          <w:rFonts w:ascii="Times New Roman" w:cs="Times New Roman" w:eastAsia="Times New Roman" w:hAnsi="Times New Roman"/>
          <w:i/>
          <w:iCs/>
          <w:sz w:val="21"/>
          <w:szCs w:val="21"/>
        </w:rPr>
        <w:t xml:space="preserve">American Economic Review, 90</w:t>
      </w:r>
      <w:r>
        <w:rPr>
          <w:rFonts w:ascii="Times New Roman" w:cs="Times New Roman" w:eastAsia="Times New Roman" w:hAnsi="Times New Roman"/>
          <w:sz w:val="21"/>
          <w:szCs w:val="21"/>
        </w:rPr>
        <w:t xml:space="preserve">(5), 1346–1361. https://doi.org/10.1257/aer.90.5.1346</w:t>
      </w:r>
    </w:p>
    <w:p>
      <w:pPr>
        <w:spacing w:after="100" w:line="270"/>
        <w:ind w:left="567" w:hanging="567"/>
      </w:pPr>
      <w:r>
        <w:rPr>
          <w:rFonts w:ascii="Times New Roman" w:cs="Times New Roman" w:eastAsia="Times New Roman" w:hAnsi="Times New Roman"/>
          <w:sz w:val="21"/>
          <w:szCs w:val="21"/>
        </w:rPr>
        <w:t xml:space="preserve">Malmi, T., &amp; Brown, D. A. (2008). Management control systems as a package: Opportunities, challenges and research directions. </w:t>
      </w:r>
      <w:r>
        <w:rPr>
          <w:rFonts w:ascii="Times New Roman" w:cs="Times New Roman" w:eastAsia="Times New Roman" w:hAnsi="Times New Roman"/>
          <w:i/>
          <w:iCs/>
          <w:sz w:val="21"/>
          <w:szCs w:val="21"/>
        </w:rPr>
        <w:t xml:space="preserve">Management Accounting Research, 19</w:t>
      </w:r>
      <w:r>
        <w:rPr>
          <w:rFonts w:ascii="Times New Roman" w:cs="Times New Roman" w:eastAsia="Times New Roman" w:hAnsi="Times New Roman"/>
          <w:sz w:val="21"/>
          <w:szCs w:val="21"/>
        </w:rPr>
        <w:t xml:space="preserve">(4), 287–300. https://doi.org/10.1016/j.mar.2008.09.003</w:t>
      </w:r>
    </w:p>
    <w:p>
      <w:pPr>
        <w:spacing w:after="100" w:line="270"/>
        <w:ind w:left="567" w:hanging="567"/>
      </w:pPr>
      <w:r>
        <w:rPr>
          <w:rFonts w:ascii="Times New Roman" w:cs="Times New Roman" w:eastAsia="Times New Roman" w:hAnsi="Times New Roman"/>
          <w:sz w:val="21"/>
          <w:szCs w:val="21"/>
        </w:rPr>
        <w:t xml:space="preserve">McSweeney, B. (2002). Hofstede's model of national cultural differences and their consequences: A triumph of faith – a failure of analysis. </w:t>
      </w:r>
      <w:r>
        <w:rPr>
          <w:rFonts w:ascii="Times New Roman" w:cs="Times New Roman" w:eastAsia="Times New Roman" w:hAnsi="Times New Roman"/>
          <w:i/>
          <w:iCs/>
          <w:sz w:val="21"/>
          <w:szCs w:val="21"/>
        </w:rPr>
        <w:t xml:space="preserve">Human Relations, 55</w:t>
      </w:r>
      <w:r>
        <w:rPr>
          <w:rFonts w:ascii="Times New Roman" w:cs="Times New Roman" w:eastAsia="Times New Roman" w:hAnsi="Times New Roman"/>
          <w:sz w:val="21"/>
          <w:szCs w:val="21"/>
        </w:rPr>
        <w:t xml:space="preserve">(1), 89–118.</w:t>
      </w:r>
    </w:p>
    <w:p>
      <w:pPr>
        <w:spacing w:after="100" w:line="270"/>
        <w:ind w:left="567" w:hanging="567"/>
      </w:pPr>
      <w:r>
        <w:rPr>
          <w:rFonts w:ascii="Times New Roman" w:cs="Times New Roman" w:eastAsia="Times New Roman" w:hAnsi="Times New Roman"/>
          <w:sz w:val="21"/>
          <w:szCs w:val="21"/>
        </w:rPr>
        <w:t xml:space="preserve">Merchant, K. A., &amp; Van der Stede, W. A. (2017). </w:t>
      </w:r>
      <w:r>
        <w:rPr>
          <w:rFonts w:ascii="Times New Roman" w:cs="Times New Roman" w:eastAsia="Times New Roman" w:hAnsi="Times New Roman"/>
          <w:i/>
          <w:iCs/>
          <w:sz w:val="21"/>
          <w:szCs w:val="21"/>
        </w:rPr>
        <w:t xml:space="preserve">Management control systems: Performance measurement, evaluation and incentives</w:t>
      </w:r>
      <w:r>
        <w:rPr>
          <w:rFonts w:ascii="Times New Roman" w:cs="Times New Roman" w:eastAsia="Times New Roman" w:hAnsi="Times New Roman"/>
          <w:sz w:val="21"/>
          <w:szCs w:val="21"/>
        </w:rPr>
        <w:t xml:space="preserve"> (4th ed.). Pearson.</w:t>
      </w:r>
    </w:p>
    <w:p>
      <w:pPr>
        <w:spacing w:after="100" w:line="270"/>
        <w:ind w:left="567" w:hanging="567"/>
      </w:pPr>
      <w:r>
        <w:rPr>
          <w:rFonts w:ascii="Times New Roman" w:cs="Times New Roman" w:eastAsia="Times New Roman" w:hAnsi="Times New Roman"/>
          <w:sz w:val="21"/>
          <w:szCs w:val="21"/>
        </w:rPr>
        <w:t xml:space="preserve">Meyer, J. W., &amp; Rowan, B. (1977). Institutionalized organizations: Formal structure as myth and ceremony. </w:t>
      </w:r>
      <w:r>
        <w:rPr>
          <w:rFonts w:ascii="Times New Roman" w:cs="Times New Roman" w:eastAsia="Times New Roman" w:hAnsi="Times New Roman"/>
          <w:i/>
          <w:iCs/>
          <w:sz w:val="21"/>
          <w:szCs w:val="21"/>
        </w:rPr>
        <w:t xml:space="preserve">American Journal of Sociology, 83</w:t>
      </w:r>
      <w:r>
        <w:rPr>
          <w:rFonts w:ascii="Times New Roman" w:cs="Times New Roman" w:eastAsia="Times New Roman" w:hAnsi="Times New Roman"/>
          <w:sz w:val="21"/>
          <w:szCs w:val="21"/>
        </w:rPr>
        <w:t xml:space="preserve">(2), 340–363.</w:t>
      </w:r>
    </w:p>
    <w:p>
      <w:pPr>
        <w:spacing w:after="100" w:line="270"/>
        <w:ind w:left="567" w:hanging="567"/>
      </w:pPr>
      <w:r>
        <w:rPr>
          <w:rFonts w:ascii="Times New Roman" w:cs="Times New Roman" w:eastAsia="Times New Roman" w:hAnsi="Times New Roman"/>
          <w:sz w:val="21"/>
          <w:szCs w:val="21"/>
        </w:rPr>
        <w:t xml:space="preserve">Milgrom, P., &amp; Roberts, J. (1995). Complementarities and fit: Strategy, structure, and organizational change in manufacturing. </w:t>
      </w:r>
      <w:r>
        <w:rPr>
          <w:rFonts w:ascii="Times New Roman" w:cs="Times New Roman" w:eastAsia="Times New Roman" w:hAnsi="Times New Roman"/>
          <w:i/>
          <w:iCs/>
          <w:sz w:val="21"/>
          <w:szCs w:val="21"/>
        </w:rPr>
        <w:t xml:space="preserve">Journal of Accounting and Economics, 19</w:t>
      </w:r>
      <w:r>
        <w:rPr>
          <w:rFonts w:ascii="Times New Roman" w:cs="Times New Roman" w:eastAsia="Times New Roman" w:hAnsi="Times New Roman"/>
          <w:sz w:val="21"/>
          <w:szCs w:val="21"/>
        </w:rPr>
        <w:t xml:space="preserve">(2–3), 179–208.</w:t>
      </w:r>
    </w:p>
    <w:p>
      <w:pPr>
        <w:spacing w:after="100" w:line="270"/>
        <w:ind w:left="567" w:hanging="567"/>
      </w:pPr>
      <w:r>
        <w:rPr>
          <w:rFonts w:ascii="Times New Roman" w:cs="Times New Roman" w:eastAsia="Times New Roman" w:hAnsi="Times New Roman"/>
          <w:sz w:val="21"/>
          <w:szCs w:val="21"/>
        </w:rPr>
        <w:t xml:space="preserve">Nadeau, C., &amp; Bengio, Y. (2003). Inference for the generalization error. </w:t>
      </w:r>
      <w:r>
        <w:rPr>
          <w:rFonts w:ascii="Times New Roman" w:cs="Times New Roman" w:eastAsia="Times New Roman" w:hAnsi="Times New Roman"/>
          <w:i/>
          <w:iCs/>
          <w:sz w:val="21"/>
          <w:szCs w:val="21"/>
        </w:rPr>
        <w:t xml:space="preserve">Machine Learning, 52</w:t>
      </w:r>
      <w:r>
        <w:rPr>
          <w:rFonts w:ascii="Times New Roman" w:cs="Times New Roman" w:eastAsia="Times New Roman" w:hAnsi="Times New Roman"/>
          <w:sz w:val="21"/>
          <w:szCs w:val="21"/>
        </w:rPr>
        <w:t xml:space="preserve">(3), 239–281. https://doi.org/10.1023/A:1024068626366</w:t>
      </w:r>
    </w:p>
    <w:p>
      <w:pPr>
        <w:spacing w:after="100" w:line="270"/>
        <w:ind w:left="567" w:hanging="567"/>
      </w:pPr>
      <w:r>
        <w:rPr>
          <w:rFonts w:ascii="Times New Roman" w:cs="Times New Roman" w:eastAsia="Times New Roman" w:hAnsi="Times New Roman"/>
          <w:sz w:val="21"/>
          <w:szCs w:val="21"/>
        </w:rPr>
        <w:t xml:space="preserve">Nielsen, S. (2022). Management accounting and the concepts of exploratory data analysis and unsupervised machine learning: A literature study and future directions. </w:t>
      </w:r>
      <w:r>
        <w:rPr>
          <w:rFonts w:ascii="Times New Roman" w:cs="Times New Roman" w:eastAsia="Times New Roman" w:hAnsi="Times New Roman"/>
          <w:i/>
          <w:iCs/>
          <w:sz w:val="21"/>
          <w:szCs w:val="21"/>
        </w:rPr>
        <w:t xml:space="preserve">Journal of Accounting &amp; Organizational Change, 18</w:t>
      </w:r>
      <w:r>
        <w:rPr>
          <w:rFonts w:ascii="Times New Roman" w:cs="Times New Roman" w:eastAsia="Times New Roman" w:hAnsi="Times New Roman"/>
          <w:sz w:val="21"/>
          <w:szCs w:val="21"/>
        </w:rPr>
        <w:t xml:space="preserve">(5), 811–853.</w:t>
      </w:r>
    </w:p>
    <w:p>
      <w:pPr>
        <w:spacing w:after="100" w:line="270"/>
        <w:ind w:left="567" w:hanging="567"/>
      </w:pPr>
      <w:r>
        <w:rPr>
          <w:rFonts w:ascii="Times New Roman" w:cs="Times New Roman" w:eastAsia="Times New Roman" w:hAnsi="Times New Roman"/>
          <w:sz w:val="21"/>
          <w:szCs w:val="21"/>
        </w:rPr>
        <w:t xml:space="preserve">Otley, D. (1999). Performance management: A framework for management control systems research. </w:t>
      </w:r>
      <w:r>
        <w:rPr>
          <w:rFonts w:ascii="Times New Roman" w:cs="Times New Roman" w:eastAsia="Times New Roman" w:hAnsi="Times New Roman"/>
          <w:i/>
          <w:iCs/>
          <w:sz w:val="21"/>
          <w:szCs w:val="21"/>
        </w:rPr>
        <w:t xml:space="preserve">Management Accounting Research, 10</w:t>
      </w:r>
      <w:r>
        <w:rPr>
          <w:rFonts w:ascii="Times New Roman" w:cs="Times New Roman" w:eastAsia="Times New Roman" w:hAnsi="Times New Roman"/>
          <w:sz w:val="21"/>
          <w:szCs w:val="21"/>
        </w:rPr>
        <w:t xml:space="preserve">(4), 363–382.</w:t>
      </w:r>
    </w:p>
    <w:p>
      <w:pPr>
        <w:spacing w:after="100" w:line="270"/>
        <w:ind w:left="567" w:hanging="567"/>
      </w:pPr>
      <w:r>
        <w:rPr>
          <w:rFonts w:ascii="Times New Roman" w:cs="Times New Roman" w:eastAsia="Times New Roman" w:hAnsi="Times New Roman"/>
          <w:sz w:val="21"/>
          <w:szCs w:val="21"/>
        </w:rPr>
        <w:t xml:space="preserve">Otley, D. (2016). The contingency theory of management accounting and control: 1980–2014. </w:t>
      </w:r>
      <w:r>
        <w:rPr>
          <w:rFonts w:ascii="Times New Roman" w:cs="Times New Roman" w:eastAsia="Times New Roman" w:hAnsi="Times New Roman"/>
          <w:i/>
          <w:iCs/>
          <w:sz w:val="21"/>
          <w:szCs w:val="21"/>
        </w:rPr>
        <w:t xml:space="preserve">Management Accounting Research, 31</w:t>
      </w:r>
      <w:r>
        <w:rPr>
          <w:rFonts w:ascii="Times New Roman" w:cs="Times New Roman" w:eastAsia="Times New Roman" w:hAnsi="Times New Roman"/>
          <w:sz w:val="21"/>
          <w:szCs w:val="21"/>
        </w:rPr>
        <w:t xml:space="preserve">, 45–62.</w:t>
      </w:r>
    </w:p>
    <w:p>
      <w:pPr>
        <w:spacing w:after="100" w:line="270"/>
        <w:ind w:left="567" w:hanging="567"/>
      </w:pPr>
      <w:r>
        <w:rPr>
          <w:rFonts w:ascii="Times New Roman" w:cs="Times New Roman" w:eastAsia="Times New Roman" w:hAnsi="Times New Roman"/>
          <w:sz w:val="21"/>
          <w:szCs w:val="21"/>
        </w:rPr>
        <w:t xml:space="preserve">Ouchi, W. G. (1979). A conceptual framework for the design of organizational control mechanisms. </w:t>
      </w:r>
      <w:r>
        <w:rPr>
          <w:rFonts w:ascii="Times New Roman" w:cs="Times New Roman" w:eastAsia="Times New Roman" w:hAnsi="Times New Roman"/>
          <w:i/>
          <w:iCs/>
          <w:sz w:val="21"/>
          <w:szCs w:val="21"/>
        </w:rPr>
        <w:t xml:space="preserve">Management Science, 25</w:t>
      </w:r>
      <w:r>
        <w:rPr>
          <w:rFonts w:ascii="Times New Roman" w:cs="Times New Roman" w:eastAsia="Times New Roman" w:hAnsi="Times New Roman"/>
          <w:sz w:val="21"/>
          <w:szCs w:val="21"/>
        </w:rPr>
        <w:t xml:space="preserve">(9), 833–848. https://doi.org/10.1287/mnsc.25.9.833</w:t>
      </w:r>
    </w:p>
    <w:p>
      <w:pPr>
        <w:spacing w:after="100" w:line="270"/>
        <w:ind w:left="567" w:hanging="567"/>
      </w:pPr>
      <w:r>
        <w:rPr>
          <w:rFonts w:ascii="Times New Roman" w:cs="Times New Roman" w:eastAsia="Times New Roman" w:hAnsi="Times New Roman"/>
          <w:sz w:val="21"/>
          <w:szCs w:val="21"/>
        </w:rPr>
        <w:t xml:space="preserve">Scur, D., Sadun, R., Van Reenen, J., Lemos, R., &amp; Bloom, N. (2021). The World Management Survey at 18: Lessons and the way forward. </w:t>
      </w:r>
      <w:r>
        <w:rPr>
          <w:rFonts w:ascii="Times New Roman" w:cs="Times New Roman" w:eastAsia="Times New Roman" w:hAnsi="Times New Roman"/>
          <w:i/>
          <w:iCs/>
          <w:sz w:val="21"/>
          <w:szCs w:val="21"/>
        </w:rPr>
        <w:t xml:space="preserve">Oxford Review of Economic Policy, 37</w:t>
      </w:r>
      <w:r>
        <w:rPr>
          <w:rFonts w:ascii="Times New Roman" w:cs="Times New Roman" w:eastAsia="Times New Roman" w:hAnsi="Times New Roman"/>
          <w:sz w:val="21"/>
          <w:szCs w:val="21"/>
        </w:rPr>
        <w:t xml:space="preserve">(2), 231–258. https://doi.org/10.1093/oxrep/grab009</w:t>
      </w:r>
    </w:p>
    <w:p>
      <w:pPr>
        <w:spacing w:after="100" w:line="270"/>
        <w:ind w:left="567" w:hanging="567"/>
      </w:pPr>
      <w:r>
        <w:rPr>
          <w:rFonts w:ascii="Times New Roman" w:cs="Times New Roman" w:eastAsia="Times New Roman" w:hAnsi="Times New Roman"/>
          <w:sz w:val="21"/>
          <w:szCs w:val="21"/>
        </w:rPr>
        <w:t xml:space="preserve">Simons, R. (1995). </w:t>
      </w:r>
      <w:r>
        <w:rPr>
          <w:rFonts w:ascii="Times New Roman" w:cs="Times New Roman" w:eastAsia="Times New Roman" w:hAnsi="Times New Roman"/>
          <w:i/>
          <w:iCs/>
          <w:sz w:val="21"/>
          <w:szCs w:val="21"/>
        </w:rPr>
        <w:t xml:space="preserve">Levers of control: How managers use innovative control systems to drive strategic renewal</w:t>
      </w:r>
      <w:r>
        <w:rPr>
          <w:rFonts w:ascii="Times New Roman" w:cs="Times New Roman" w:eastAsia="Times New Roman" w:hAnsi="Times New Roman"/>
          <w:sz w:val="21"/>
          <w:szCs w:val="21"/>
        </w:rPr>
        <w:t xml:space="preserve">. Harvard Business School Press.</w:t>
      </w:r>
    </w:p>
    <w:p>
      <w:pPr>
        <w:spacing w:after="100" w:line="270"/>
        <w:ind w:left="567" w:hanging="567"/>
      </w:pPr>
      <w:r>
        <w:rPr>
          <w:rFonts w:ascii="Times New Roman" w:cs="Times New Roman" w:eastAsia="Times New Roman" w:hAnsi="Times New Roman"/>
          <w:sz w:val="21"/>
          <w:szCs w:val="21"/>
        </w:rPr>
        <w:t xml:space="preserve">Tessier, S., &amp; Otley, D. (2012). A conceptual development of Simons' Levers of Control framework. </w:t>
      </w:r>
      <w:r>
        <w:rPr>
          <w:rFonts w:ascii="Times New Roman" w:cs="Times New Roman" w:eastAsia="Times New Roman" w:hAnsi="Times New Roman"/>
          <w:i/>
          <w:iCs/>
          <w:sz w:val="21"/>
          <w:szCs w:val="21"/>
        </w:rPr>
        <w:t xml:space="preserve">Management Accounting Research, 23</w:t>
      </w:r>
      <w:r>
        <w:rPr>
          <w:rFonts w:ascii="Times New Roman" w:cs="Times New Roman" w:eastAsia="Times New Roman" w:hAnsi="Times New Roman"/>
          <w:sz w:val="21"/>
          <w:szCs w:val="21"/>
        </w:rPr>
        <w:t xml:space="preserve">(3), 171–185.</w:t>
      </w:r>
    </w:p>
    <w:p>
      <w:pPr>
        <w:spacing w:after="100" w:line="270"/>
        <w:ind w:left="567" w:hanging="567"/>
      </w:pPr>
      <w:r>
        <w:rPr>
          <w:rFonts w:ascii="Times New Roman" w:cs="Times New Roman" w:eastAsia="Times New Roman" w:hAnsi="Times New Roman"/>
          <w:sz w:val="21"/>
          <w:szCs w:val="21"/>
        </w:rPr>
        <w:t xml:space="preserve">Zbaracki, M. J. (1998). The rhetoric and reality of total quality management. </w:t>
      </w:r>
      <w:r>
        <w:rPr>
          <w:rFonts w:ascii="Times New Roman" w:cs="Times New Roman" w:eastAsia="Times New Roman" w:hAnsi="Times New Roman"/>
          <w:i/>
          <w:iCs/>
          <w:sz w:val="21"/>
          <w:szCs w:val="21"/>
        </w:rPr>
        <w:t xml:space="preserve">Administrative Science Quarterly, 43</w:t>
      </w:r>
      <w:r>
        <w:rPr>
          <w:rFonts w:ascii="Times New Roman" w:cs="Times New Roman" w:eastAsia="Times New Roman" w:hAnsi="Times New Roman"/>
          <w:sz w:val="21"/>
          <w:szCs w:val="21"/>
        </w:rPr>
        <w:t xml:space="preserve">, 602–636.</w:t>
      </w:r>
    </w:p>
    <w:p>
      <w:pPr>
        <w:pStyle w:val="Heading1"/>
        <w:spacing w:after="160" w:before="360"/>
      </w:pPr>
      <w:r>
        <w:rPr>
          <w:rFonts w:ascii="Times New Roman" w:cs="Times New Roman" w:eastAsia="Times New Roman" w:hAnsi="Times New Roman"/>
          <w:b/>
          <w:bCs/>
          <w:sz w:val="28"/>
          <w:szCs w:val="28"/>
        </w:rPr>
        <w:t xml:space="preserve">Appendix A. Management control frameworks in a common notation</w:t>
      </w:r>
    </w:p>
    <w:p>
      <w:pPr>
        <w:spacing w:after="120" w:line="300"/>
        <w:jc w:val="both"/>
      </w:pPr>
      <w:r>
        <w:rPr>
          <w:rFonts w:ascii="Times New Roman" w:cs="Times New Roman" w:eastAsia="Times New Roman" w:hAnsi="Times New Roman"/>
        </w:rPr>
        <w:t xml:space="preserve">The appendix records how the control frameworks used in Section 2.2 can be written in a common notation and what WBES observes of each. It is interpretive and does not define the aim of the analysis.</w:t>
      </w:r>
    </w:p>
    <w:p>
      <w:pPr>
        <w:spacing w:after="200" w:before="60"/>
        <w:jc w:val="left"/>
      </w:pPr>
      <w:r>
        <w:rPr>
          <w:rFonts w:ascii="Times New Roman" w:cs="Times New Roman" w:eastAsia="Times New Roman" w:hAnsi="Times New Roman"/>
          <w:b/>
          <w:bCs/>
          <w:sz w:val="20"/>
          <w:szCs w:val="20"/>
        </w:rPr>
        <w:t xml:space="preserve">Table A1.</w:t>
      </w:r>
      <w:r>
        <w:rPr>
          <w:rFonts w:ascii="Times New Roman" w:cs="Times New Roman" w:eastAsia="Times New Roman" w:hAnsi="Times New Roman"/>
          <w:sz w:val="20"/>
          <w:szCs w:val="20"/>
        </w:rPr>
        <w:t xml:space="preserve"> Management control frameworks in a common notation and their observability in WBES (appendix; interpretive).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200"/>
      </w:tblGrid>
      <w:tr>
        <w:trPr>
          <w:tblHeader/>
        </w:trPr>
        <w:tc>
          <w:tcPr>
            <w:tcW w:type="dxa" w:w="2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Framework</w:t>
            </w:r>
          </w:p>
        </w:tc>
        <w:tc>
          <w:tcPr>
            <w:tcW w:type="dxa" w:w="4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Specification (our notation)</w:t>
            </w:r>
          </w:p>
        </w:tc>
        <w:tc>
          <w:tcPr>
            <w:tcW w:type="dxa" w:w="2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WBES observability</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Malmi &amp; Brown (2008)</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x_ij = λ_jk C_ik + ε_ij (items j, control type k, firm i); package = joint distribution of (C_i1..C_i5); configuration = region of that space; Performance_i = f(C_i)</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WBES covers cybernetic and reward only</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Simons (1995); Tessier &amp; Otley (2012)</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x_ij = λ_jk S_ik + μ_jk U_ik; U_ik ∈ {diagnostic, interactive}; effects depend on U (interaction), not on presence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Use not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Otley (1999); Ferreira &amp; Otley (2009)</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Performance management system as a set of areas A1..A5 (objectives, strategies and plans, targets, rewards, information flows); coherence across areas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rewards, information flows partly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Merchant &amp; Van der Stede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Results, action, personnel, cultural controls; tightness of each</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Results controls observed; others weakly or not</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Ouchi (1979)</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Mechanism choice determined by ability to measure outputs/behaviours and goal congruence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Output measurement partly; congruence not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Grabner &amp; Moers (2013)</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System = package + internal consistency (formal definition per abstract)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identifiable from presence</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Bloom &amp; Van Reenen (2007)</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Score_i = Σ_j s_ij (monitoring, targets, incentives); Productivity = f(Score)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Direct counterpart of WBES module</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Contingency (Chenhall, 2003; Otley, 2016)</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Effect = β + δ'Context (interaction/fit)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Organisational context partly observed; national institutions not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2f4d7323e6bfd9a10fbbc8c980ceb69f5754e3.png"/><Relationship Id="rId9" Type="http://schemas.openxmlformats.org/officeDocument/2006/relationships/image" Target="media/55300933186e4b2e8e8b051991acf8718eb8a3ef.png"/><Relationship Id="rId10" Type="http://schemas.openxmlformats.org/officeDocument/2006/relationships/image" Target="media/36088d516f60889d17c4df5277df08277329e0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Targets and Incentives: Cross-Country Heterogeneity and Transferability of Control-Practice Associations with Performance</dc:title>
  <dc:creator>Research team</dc:creator>
  <cp:lastModifiedBy>Un-named</cp:lastModifiedBy>
  <cp:revision>1</cp:revision>
  <dcterms:created xsi:type="dcterms:W3CDTF">2026-10-22T12:47:43.456Z</dcterms:created>
  <dcterms:modified xsi:type="dcterms:W3CDTF">2026-10-22T12:47:43.461Z</dcterms:modified>
</cp:coreProperties>
</file>

<file path=docProps/custom.xml><?xml version="1.0" encoding="utf-8"?>
<Properties xmlns="http://schemas.openxmlformats.org/officeDocument/2006/custom-properties" xmlns:vt="http://schemas.openxmlformats.org/officeDocument/2006/docPropsVTypes"/>
</file>